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B2961" w14:textId="4C7C48F6"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 xml:space="preserve">3GPP TSG RAN WG1 </w:t>
      </w:r>
      <w:r w:rsidR="004D5BF4">
        <w:rPr>
          <w:rFonts w:ascii="Arial" w:eastAsia="Batang" w:hAnsi="Arial" w:cs="Arial"/>
          <w:b/>
          <w:bCs/>
          <w:szCs w:val="22"/>
        </w:rPr>
        <w:t>#9</w:t>
      </w:r>
      <w:r w:rsidR="00812031">
        <w:rPr>
          <w:rFonts w:ascii="Arial" w:eastAsia="Batang" w:hAnsi="Arial" w:cs="Arial"/>
          <w:b/>
          <w:bCs/>
          <w:szCs w:val="22"/>
        </w:rPr>
        <w:t>8</w:t>
      </w:r>
      <w:r w:rsidRPr="00074926">
        <w:rPr>
          <w:rFonts w:ascii="Arial" w:eastAsia="Batang" w:hAnsi="Arial" w:cs="Arial"/>
          <w:b/>
          <w:bCs/>
          <w:szCs w:val="22"/>
        </w:rPr>
        <w:tab/>
      </w:r>
      <w:r w:rsidRPr="00074926">
        <w:rPr>
          <w:rFonts w:ascii="Arial" w:eastAsia="Batang" w:hAnsi="Arial" w:cs="Arial"/>
          <w:b/>
          <w:bCs/>
          <w:szCs w:val="22"/>
        </w:rPr>
        <w:tab/>
      </w:r>
      <w:r w:rsidR="005C70A9" w:rsidRPr="00CA5461">
        <w:rPr>
          <w:rFonts w:ascii="Arial" w:eastAsia="Batang" w:hAnsi="Arial" w:cs="Arial"/>
          <w:b/>
          <w:bCs/>
          <w:color w:val="000000" w:themeColor="text1"/>
          <w:szCs w:val="22"/>
        </w:rPr>
        <w:t>R1-190</w:t>
      </w:r>
      <w:r w:rsidR="00812031">
        <w:rPr>
          <w:rFonts w:ascii="Arial" w:eastAsia="Batang" w:hAnsi="Arial" w:cs="Arial"/>
          <w:b/>
          <w:bCs/>
          <w:color w:val="000000" w:themeColor="text1"/>
          <w:szCs w:val="22"/>
        </w:rPr>
        <w:t>8758</w:t>
      </w:r>
    </w:p>
    <w:p w14:paraId="3B0F6453" w14:textId="1854AA6C" w:rsidR="00855F39" w:rsidRPr="00074926" w:rsidRDefault="00812031" w:rsidP="00855F39">
      <w:pPr>
        <w:tabs>
          <w:tab w:val="center" w:pos="4536"/>
          <w:tab w:val="right" w:pos="9072"/>
        </w:tabs>
        <w:ind w:left="1440" w:hanging="1440"/>
        <w:rPr>
          <w:rFonts w:ascii="Arial" w:eastAsia="MS Mincho" w:hAnsi="Arial" w:cs="Arial"/>
          <w:b/>
          <w:bCs/>
          <w:szCs w:val="22"/>
          <w:lang w:eastAsia="ja-JP"/>
        </w:rPr>
      </w:pPr>
      <w:r>
        <w:rPr>
          <w:rFonts w:ascii="Arial" w:eastAsia="MS Mincho" w:hAnsi="Arial" w:cs="Arial"/>
          <w:b/>
          <w:bCs/>
          <w:szCs w:val="22"/>
          <w:lang w:eastAsia="ja-JP"/>
        </w:rPr>
        <w:t>Prague</w:t>
      </w:r>
      <w:r w:rsidR="00364C98">
        <w:rPr>
          <w:rFonts w:ascii="Arial" w:eastAsia="MS Mincho" w:hAnsi="Arial" w:cs="Arial"/>
          <w:b/>
          <w:bCs/>
          <w:szCs w:val="22"/>
          <w:lang w:eastAsia="ja-JP"/>
        </w:rPr>
        <w:t xml:space="preserve">, </w:t>
      </w:r>
      <w:r>
        <w:rPr>
          <w:rFonts w:ascii="Arial" w:eastAsia="MS Mincho" w:hAnsi="Arial" w:cs="Arial"/>
          <w:b/>
          <w:bCs/>
          <w:szCs w:val="22"/>
          <w:lang w:eastAsia="ja-JP"/>
        </w:rPr>
        <w:t>Czech Republic</w:t>
      </w:r>
      <w:r w:rsidR="00782D42">
        <w:rPr>
          <w:rFonts w:ascii="Arial" w:eastAsia="MS Mincho" w:hAnsi="Arial" w:cs="Arial"/>
          <w:b/>
          <w:bCs/>
          <w:szCs w:val="22"/>
          <w:lang w:eastAsia="ja-JP"/>
        </w:rPr>
        <w:t xml:space="preserve">, </w:t>
      </w:r>
      <w:r>
        <w:rPr>
          <w:rFonts w:ascii="Arial" w:eastAsia="MS Mincho" w:hAnsi="Arial" w:cs="Arial"/>
          <w:b/>
          <w:bCs/>
          <w:szCs w:val="22"/>
          <w:lang w:eastAsia="ja-JP"/>
        </w:rPr>
        <w:t>26</w:t>
      </w:r>
      <w:r w:rsidRPr="00812031">
        <w:rPr>
          <w:rFonts w:ascii="Arial" w:eastAsia="MS Mincho" w:hAnsi="Arial" w:cs="Arial"/>
          <w:b/>
          <w:bCs/>
          <w:szCs w:val="22"/>
          <w:vertAlign w:val="superscript"/>
          <w:lang w:eastAsia="ja-JP"/>
        </w:rPr>
        <w:t>th</w:t>
      </w:r>
      <w:r>
        <w:rPr>
          <w:rFonts w:ascii="Arial" w:eastAsia="MS Mincho" w:hAnsi="Arial" w:cs="Arial"/>
          <w:b/>
          <w:bCs/>
          <w:szCs w:val="22"/>
          <w:lang w:eastAsia="ja-JP"/>
        </w:rPr>
        <w:t xml:space="preserve"> – 30</w:t>
      </w:r>
      <w:r w:rsidRPr="00812031">
        <w:rPr>
          <w:rFonts w:ascii="Arial" w:eastAsia="MS Mincho" w:hAnsi="Arial" w:cs="Arial"/>
          <w:b/>
          <w:bCs/>
          <w:szCs w:val="22"/>
          <w:vertAlign w:val="superscript"/>
          <w:lang w:eastAsia="ja-JP"/>
        </w:rPr>
        <w:t>th</w:t>
      </w:r>
      <w:r>
        <w:rPr>
          <w:rFonts w:ascii="Arial" w:eastAsia="MS Mincho" w:hAnsi="Arial" w:cs="Arial"/>
          <w:b/>
          <w:bCs/>
          <w:szCs w:val="22"/>
          <w:lang w:eastAsia="ja-JP"/>
        </w:rPr>
        <w:t xml:space="preserve"> August</w:t>
      </w:r>
      <w:r w:rsidR="004D5BF4" w:rsidRPr="004D5BF4">
        <w:rPr>
          <w:rFonts w:ascii="Arial" w:eastAsia="MS Mincho" w:hAnsi="Arial" w:cs="Arial"/>
          <w:b/>
          <w:bCs/>
          <w:szCs w:val="22"/>
          <w:lang w:eastAsia="ja-JP"/>
        </w:rPr>
        <w:t xml:space="preserve"> 2</w:t>
      </w:r>
      <w:r w:rsidR="00855F39" w:rsidRPr="00AB354D">
        <w:rPr>
          <w:rFonts w:ascii="Arial" w:eastAsia="MS Mincho" w:hAnsi="Arial" w:cs="Arial"/>
          <w:b/>
          <w:bCs/>
          <w:szCs w:val="22"/>
          <w:lang w:eastAsia="ja-JP"/>
        </w:rPr>
        <w:t>019</w:t>
      </w:r>
      <w:r w:rsidR="00855F39" w:rsidRPr="00074926">
        <w:rPr>
          <w:rFonts w:ascii="Arial" w:eastAsia="MS Mincho" w:hAnsi="Arial" w:cs="Arial"/>
          <w:b/>
          <w:bCs/>
          <w:szCs w:val="22"/>
          <w:lang w:eastAsia="ja-JP"/>
        </w:rPr>
        <w:t xml:space="preserve"> </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6664A670" w:rsidR="00855F39" w:rsidRPr="00074926" w:rsidRDefault="005C70A9" w:rsidP="00855F39">
      <w:pPr>
        <w:tabs>
          <w:tab w:val="left" w:pos="1800"/>
        </w:tabs>
        <w:spacing w:after="60"/>
        <w:rPr>
          <w:rFonts w:eastAsia="MS Mincho"/>
          <w:b/>
          <w:lang w:val="en-US"/>
        </w:rPr>
      </w:pPr>
      <w:r>
        <w:rPr>
          <w:b/>
          <w:lang w:val="en-US"/>
        </w:rPr>
        <w:t>Agenda Item:</w:t>
      </w:r>
      <w:r>
        <w:rPr>
          <w:b/>
          <w:lang w:val="en-US"/>
        </w:rPr>
        <w:tab/>
        <w:t>6.2</w:t>
      </w:r>
      <w:r w:rsidR="00855F39" w:rsidRPr="00074926">
        <w:rPr>
          <w:b/>
          <w:lang w:val="en-US"/>
        </w:rPr>
        <w:t>.</w:t>
      </w:r>
      <w:r>
        <w:rPr>
          <w:b/>
          <w:lang w:val="en-US"/>
        </w:rPr>
        <w:t>1.</w:t>
      </w:r>
      <w:r w:rsidR="00300E72">
        <w:rPr>
          <w:b/>
          <w:lang w:val="en-US"/>
        </w:rPr>
        <w:t>3</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04724BB8" w:rsidR="00855F39" w:rsidRPr="00074926" w:rsidRDefault="00855F39" w:rsidP="00855F39">
      <w:pPr>
        <w:tabs>
          <w:tab w:val="left" w:pos="1800"/>
        </w:tabs>
        <w:spacing w:after="60"/>
        <w:ind w:left="1800" w:hanging="1800"/>
        <w:rPr>
          <w:b/>
          <w:lang w:val="en-US"/>
        </w:rPr>
      </w:pPr>
      <w:r w:rsidRPr="00074926">
        <w:rPr>
          <w:b/>
          <w:color w:val="000000"/>
          <w:lang w:val="en-US"/>
        </w:rPr>
        <w:t>Title:</w:t>
      </w:r>
      <w:r w:rsidRPr="00074926">
        <w:rPr>
          <w:b/>
          <w:color w:val="000000"/>
          <w:lang w:val="en-US"/>
        </w:rPr>
        <w:tab/>
      </w:r>
      <w:r w:rsidR="000D55CA">
        <w:rPr>
          <w:b/>
          <w:color w:val="000000"/>
          <w:lang w:val="en-US"/>
        </w:rPr>
        <w:t xml:space="preserve">On scheduling </w:t>
      </w:r>
      <w:r w:rsidR="00812031">
        <w:rPr>
          <w:b/>
          <w:color w:val="000000"/>
          <w:lang w:val="en-US"/>
        </w:rPr>
        <w:t xml:space="preserve">of </w:t>
      </w:r>
      <w:r w:rsidR="000D55CA">
        <w:rPr>
          <w:b/>
          <w:color w:val="000000"/>
          <w:lang w:val="en-US"/>
        </w:rPr>
        <w:t>multiple DL / UL transport blocks</w:t>
      </w:r>
    </w:p>
    <w:p w14:paraId="73A0E73F" w14:textId="77777777" w:rsidR="00855F39" w:rsidRPr="00074926" w:rsidRDefault="00855F39" w:rsidP="00855F39">
      <w:pPr>
        <w:tabs>
          <w:tab w:val="left" w:pos="1800"/>
        </w:tabs>
        <w:spacing w:after="60"/>
        <w:rPr>
          <w:b/>
        </w:rPr>
      </w:pPr>
      <w:r w:rsidRPr="00074926">
        <w:rPr>
          <w:b/>
        </w:rPr>
        <w:t>Document for:</w:t>
      </w:r>
      <w:r w:rsidRPr="00074926">
        <w:rPr>
          <w:b/>
        </w:rPr>
        <w:tab/>
        <w:t>Discussion / decision</w:t>
      </w:r>
    </w:p>
    <w:p w14:paraId="7ED44C6D" w14:textId="77777777"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6ABBC91E" w14:textId="016EE927" w:rsidR="00364C98" w:rsidRDefault="004D5BF4" w:rsidP="004D5BF4">
      <w:pPr>
        <w:rPr>
          <w:rFonts w:eastAsia="MS Mincho"/>
          <w:lang w:val="en-US"/>
        </w:rPr>
      </w:pPr>
      <w:r>
        <w:rPr>
          <w:rFonts w:eastAsia="MS Mincho"/>
          <w:lang w:val="en-US"/>
        </w:rPr>
        <w:t>In RAN1</w:t>
      </w:r>
      <w:r w:rsidR="005C70A9">
        <w:rPr>
          <w:rFonts w:eastAsia="MS Mincho"/>
          <w:lang w:val="en-US"/>
        </w:rPr>
        <w:t>#9</w:t>
      </w:r>
      <w:r w:rsidR="0073373C">
        <w:rPr>
          <w:rFonts w:eastAsia="MS Mincho"/>
          <w:lang w:val="en-US"/>
        </w:rPr>
        <w:t>6</w:t>
      </w:r>
      <w:r w:rsidR="00364C98">
        <w:rPr>
          <w:rFonts w:eastAsia="MS Mincho"/>
          <w:lang w:val="en-US"/>
        </w:rPr>
        <w:t>bis</w:t>
      </w:r>
      <w:r w:rsidR="00C85EDD">
        <w:rPr>
          <w:rFonts w:eastAsia="MS Mincho"/>
          <w:lang w:val="en-US"/>
        </w:rPr>
        <w:t xml:space="preserve"> and RAN1#97</w:t>
      </w:r>
      <w:r>
        <w:rPr>
          <w:rFonts w:eastAsia="MS Mincho"/>
          <w:lang w:val="en-US"/>
        </w:rPr>
        <w:t xml:space="preserve">, we </w:t>
      </w:r>
      <w:r w:rsidR="005C70A9">
        <w:rPr>
          <w:rFonts w:eastAsia="MS Mincho"/>
          <w:lang w:val="en-US"/>
        </w:rPr>
        <w:t>agreed the following</w:t>
      </w:r>
      <w:r w:rsidR="005C19D9">
        <w:rPr>
          <w:rFonts w:eastAsia="MS Mincho"/>
          <w:lang w:val="en-US"/>
        </w:rPr>
        <w:t xml:space="preserve"> on </w:t>
      </w:r>
      <w:r w:rsidR="00DB0C2A">
        <w:rPr>
          <w:rFonts w:eastAsia="MS Mincho"/>
          <w:lang w:val="en-US"/>
        </w:rPr>
        <w:t>scheduling multiple DL / UL transport blocks [1]</w:t>
      </w:r>
      <w:r>
        <w:rPr>
          <w:rFonts w:eastAsia="MS Mincho"/>
          <w:lang w:val="en-US"/>
        </w:rPr>
        <w:t>:</w:t>
      </w:r>
    </w:p>
    <w:p w14:paraId="16F32868" w14:textId="32D9FD1F" w:rsidR="00C85EDD" w:rsidRDefault="00C85EDD" w:rsidP="004D5BF4">
      <w:pPr>
        <w:rPr>
          <w:rFonts w:eastAsia="MS Mincho"/>
          <w:lang w:val="en-US"/>
        </w:rPr>
      </w:pPr>
      <w:r w:rsidRPr="00C85EDD">
        <w:rPr>
          <w:rFonts w:eastAsia="MS Mincho"/>
          <w:highlight w:val="cyan"/>
          <w:lang w:val="en-US"/>
        </w:rPr>
        <w:t>RAN1#96bis</w:t>
      </w:r>
    </w:p>
    <w:p w14:paraId="32BE4912" w14:textId="77777777" w:rsidR="00364C98" w:rsidRDefault="00364C98" w:rsidP="00364C98">
      <w:pPr>
        <w:pStyle w:val="Proposal"/>
        <w:overflowPunct/>
        <w:autoSpaceDE/>
        <w:adjustRightInd/>
        <w:spacing w:after="0"/>
        <w:jc w:val="left"/>
      </w:pPr>
      <w:r>
        <w:t>For further discussion</w:t>
      </w:r>
    </w:p>
    <w:p w14:paraId="49060B62" w14:textId="77777777" w:rsidR="00364C98" w:rsidRDefault="00364C98" w:rsidP="00364C98">
      <w:pPr>
        <w:pStyle w:val="Proposal"/>
        <w:overflowPunct/>
        <w:autoSpaceDE/>
        <w:adjustRightInd/>
        <w:spacing w:after="0"/>
        <w:ind w:left="0" w:firstLine="0"/>
        <w:jc w:val="left"/>
        <w:rPr>
          <w:b w:val="0"/>
        </w:rPr>
      </w:pPr>
      <w:r>
        <w:rPr>
          <w:b w:val="0"/>
        </w:rPr>
        <w:t>Which of the following features that should be possible to configure and/or use in combination with scheduling of multiple TBs</w:t>
      </w:r>
    </w:p>
    <w:p w14:paraId="07EF9243" w14:textId="77777777" w:rsidR="00364C98" w:rsidRDefault="00364C98" w:rsidP="00364C98">
      <w:pPr>
        <w:numPr>
          <w:ilvl w:val="0"/>
          <w:numId w:val="41"/>
        </w:numPr>
        <w:spacing w:after="0"/>
        <w:rPr>
          <w:rFonts w:eastAsia="Times New Roman"/>
        </w:rPr>
      </w:pPr>
      <w:r>
        <w:rPr>
          <w:rFonts w:eastAsia="Times New Roman"/>
        </w:rPr>
        <w:t>Rel-14 feature for new numbers of repetitions for PUSCH and modulation restrictions for PDSCH/PUSCH in CE mode A</w:t>
      </w:r>
    </w:p>
    <w:p w14:paraId="0CCAB7C9" w14:textId="77777777" w:rsidR="00364C98" w:rsidRDefault="00364C98" w:rsidP="00364C98">
      <w:pPr>
        <w:numPr>
          <w:ilvl w:val="0"/>
          <w:numId w:val="41"/>
        </w:numPr>
        <w:spacing w:after="0"/>
        <w:rPr>
          <w:rFonts w:eastAsia="Times New Roman"/>
        </w:rPr>
      </w:pPr>
      <w:r>
        <w:rPr>
          <w:rFonts w:eastAsia="Times New Roman"/>
        </w:rPr>
        <w:t>Rel-14 feature for 2984 bits max UL TBS in 1.4 MHz in CE mode A</w:t>
      </w:r>
    </w:p>
    <w:p w14:paraId="57F94A46" w14:textId="77777777" w:rsidR="00364C98" w:rsidRDefault="00364C98" w:rsidP="00364C98">
      <w:pPr>
        <w:numPr>
          <w:ilvl w:val="0"/>
          <w:numId w:val="41"/>
        </w:numPr>
        <w:spacing w:after="0"/>
        <w:rPr>
          <w:rFonts w:eastAsia="Times New Roman"/>
        </w:rPr>
      </w:pPr>
      <w:r>
        <w:rPr>
          <w:rFonts w:eastAsia="Times New Roman"/>
        </w:rPr>
        <w:t>Rel-14 feature on HARQ-ACK bundling in HD-FDD in CE mode A</w:t>
      </w:r>
    </w:p>
    <w:p w14:paraId="11A3385F" w14:textId="77777777" w:rsidR="00364C98" w:rsidRDefault="00364C98" w:rsidP="00364C98">
      <w:pPr>
        <w:numPr>
          <w:ilvl w:val="0"/>
          <w:numId w:val="41"/>
        </w:numPr>
        <w:spacing w:after="0"/>
        <w:rPr>
          <w:rFonts w:eastAsia="Times New Roman"/>
        </w:rPr>
      </w:pPr>
      <w:r>
        <w:rPr>
          <w:rFonts w:eastAsia="Times New Roman"/>
        </w:rPr>
        <w:t>Rel-14 features for 5 or 20 MHz max PDSCH/PUSCH channel bandwidths in CE mode A/B</w:t>
      </w:r>
    </w:p>
    <w:p w14:paraId="3DB65F4A" w14:textId="77777777" w:rsidR="00364C98" w:rsidRDefault="00364C98" w:rsidP="00364C98">
      <w:pPr>
        <w:numPr>
          <w:ilvl w:val="0"/>
          <w:numId w:val="41"/>
        </w:numPr>
        <w:spacing w:after="0"/>
        <w:rPr>
          <w:rFonts w:eastAsia="Times New Roman"/>
        </w:rPr>
      </w:pPr>
      <w:r>
        <w:rPr>
          <w:rFonts w:eastAsia="Times New Roman"/>
        </w:rPr>
        <w:t>Rel-14 feature for 10 downlink HARQ processes in FDD in CE mode A</w:t>
      </w:r>
    </w:p>
    <w:p w14:paraId="18727E5D" w14:textId="77777777" w:rsidR="00364C98" w:rsidRDefault="00364C98" w:rsidP="00364C98">
      <w:pPr>
        <w:numPr>
          <w:ilvl w:val="0"/>
          <w:numId w:val="41"/>
        </w:numPr>
        <w:spacing w:after="0"/>
        <w:rPr>
          <w:rFonts w:eastAsia="Times New Roman"/>
        </w:rPr>
      </w:pPr>
      <w:r>
        <w:rPr>
          <w:rFonts w:eastAsia="Times New Roman"/>
        </w:rPr>
        <w:t>Rel-14 feature for dynamic HARQ-ACK delay for HD-FDD in CE mode A</w:t>
      </w:r>
    </w:p>
    <w:p w14:paraId="7B667F83" w14:textId="77777777" w:rsidR="00364C98" w:rsidRDefault="00364C98" w:rsidP="00364C98">
      <w:pPr>
        <w:numPr>
          <w:ilvl w:val="0"/>
          <w:numId w:val="41"/>
        </w:numPr>
        <w:spacing w:after="0"/>
        <w:rPr>
          <w:rFonts w:eastAsia="Times New Roman"/>
        </w:rPr>
      </w:pPr>
      <w:r>
        <w:rPr>
          <w:rFonts w:eastAsia="Times New Roman"/>
        </w:rPr>
        <w:t>Rel-15 features for flexible starting PRB for PDSCH/PUSCH in CE mode A/B</w:t>
      </w:r>
    </w:p>
    <w:p w14:paraId="2636BA9B" w14:textId="77777777" w:rsidR="00364C98" w:rsidRDefault="00364C98" w:rsidP="00364C98">
      <w:pPr>
        <w:numPr>
          <w:ilvl w:val="0"/>
          <w:numId w:val="41"/>
        </w:numPr>
        <w:spacing w:after="0"/>
        <w:rPr>
          <w:rFonts w:eastAsia="Times New Roman"/>
        </w:rPr>
      </w:pPr>
      <w:r>
        <w:rPr>
          <w:rFonts w:eastAsia="Times New Roman"/>
        </w:rPr>
        <w:t>Rel-15 feature for PUSCH sub-PRB allocation in CE mode A/B</w:t>
      </w:r>
    </w:p>
    <w:p w14:paraId="1CA18315" w14:textId="77777777" w:rsidR="00364C98" w:rsidRDefault="00364C98" w:rsidP="00364C98">
      <w:pPr>
        <w:numPr>
          <w:ilvl w:val="0"/>
          <w:numId w:val="41"/>
        </w:numPr>
        <w:spacing w:after="0"/>
        <w:rPr>
          <w:rFonts w:eastAsia="Times New Roman"/>
        </w:rPr>
      </w:pPr>
      <w:r>
        <w:rPr>
          <w:rFonts w:eastAsia="Times New Roman"/>
        </w:rPr>
        <w:t>Rel-15 feature for 64QAM for non-repeated unicast PDSCH in CE mode A</w:t>
      </w:r>
    </w:p>
    <w:p w14:paraId="7B2E8DFF" w14:textId="77777777" w:rsidR="00364C98" w:rsidRDefault="00364C98" w:rsidP="00364C98">
      <w:pPr>
        <w:numPr>
          <w:ilvl w:val="0"/>
          <w:numId w:val="41"/>
        </w:numPr>
        <w:spacing w:after="0"/>
        <w:rPr>
          <w:rFonts w:eastAsia="Times New Roman"/>
        </w:rPr>
      </w:pPr>
      <w:r>
        <w:rPr>
          <w:rFonts w:eastAsia="Times New Roman"/>
        </w:rPr>
        <w:t>Rel-15 feature for uplink HARQ-ACK feedback in DCI in CE mode A/B</w:t>
      </w:r>
    </w:p>
    <w:p w14:paraId="440A79E1" w14:textId="77777777" w:rsidR="00364C98" w:rsidRDefault="00364C98" w:rsidP="00364C98">
      <w:pPr>
        <w:rPr>
          <w:lang w:eastAsia="x-none"/>
        </w:rPr>
      </w:pPr>
      <w:r>
        <w:rPr>
          <w:lang w:eastAsia="x-none"/>
        </w:rPr>
        <w:t>Companies are encouraged to provide their preference on this issue.</w:t>
      </w:r>
    </w:p>
    <w:p w14:paraId="60F28B85" w14:textId="77777777" w:rsidR="00364C98" w:rsidRDefault="00364C98" w:rsidP="00364C98">
      <w:pPr>
        <w:rPr>
          <w:rFonts w:cs="Arial"/>
        </w:rPr>
      </w:pPr>
    </w:p>
    <w:p w14:paraId="53DF64E7" w14:textId="77777777" w:rsidR="00364C98" w:rsidRDefault="00364C98" w:rsidP="00364C98">
      <w:pPr>
        <w:rPr>
          <w:rFonts w:cs="Arial"/>
          <w:b/>
          <w:highlight w:val="green"/>
        </w:rPr>
      </w:pPr>
      <w:r>
        <w:rPr>
          <w:rFonts w:cs="Arial"/>
          <w:b/>
          <w:highlight w:val="green"/>
        </w:rPr>
        <w:t>Agreement</w:t>
      </w:r>
    </w:p>
    <w:p w14:paraId="3C2EC7DC" w14:textId="77777777" w:rsidR="00364C98" w:rsidRPr="00731218" w:rsidRDefault="00364C98" w:rsidP="00364C98">
      <w:pPr>
        <w:pStyle w:val="Proposal"/>
        <w:overflowPunct/>
        <w:autoSpaceDE/>
        <w:adjustRightInd/>
        <w:spacing w:after="0"/>
        <w:ind w:left="0" w:firstLine="0"/>
        <w:jc w:val="left"/>
        <w:rPr>
          <w:b w:val="0"/>
        </w:rPr>
      </w:pPr>
      <w:r w:rsidRPr="00731218">
        <w:rPr>
          <w:rFonts w:cs="Arial"/>
          <w:b w:val="0"/>
        </w:rPr>
        <w:t xml:space="preserve">For unicast, the UE is configured for interleaved </w:t>
      </w:r>
      <w:r w:rsidRPr="00731218">
        <w:rPr>
          <w:b w:val="0"/>
        </w:rPr>
        <w:t xml:space="preserve">transmission of subframe repetitions </w:t>
      </w:r>
      <w:r w:rsidRPr="00731218">
        <w:rPr>
          <w:rFonts w:cs="Arial"/>
          <w:b w:val="0"/>
        </w:rPr>
        <w:t xml:space="preserve">of the </w:t>
      </w:r>
      <w:r w:rsidRPr="00731218">
        <w:rPr>
          <w:b w:val="0"/>
        </w:rPr>
        <w:t>respective</w:t>
      </w:r>
      <w:r w:rsidRPr="00731218">
        <w:rPr>
          <w:rFonts w:cs="Arial"/>
          <w:b w:val="0"/>
        </w:rPr>
        <w:t xml:space="preserve"> TBs separately for DL and UL via RRC </w:t>
      </w:r>
      <w:proofErr w:type="spellStart"/>
      <w:r w:rsidRPr="00731218">
        <w:rPr>
          <w:rFonts w:cs="Arial"/>
          <w:b w:val="0"/>
        </w:rPr>
        <w:t>signaling</w:t>
      </w:r>
      <w:proofErr w:type="spellEnd"/>
      <w:r w:rsidRPr="00731218">
        <w:rPr>
          <w:b w:val="0"/>
        </w:rPr>
        <w:t>.</w:t>
      </w:r>
    </w:p>
    <w:p w14:paraId="69B629DF" w14:textId="77777777" w:rsidR="00364C98" w:rsidRDefault="00364C98" w:rsidP="00364C98">
      <w:pPr>
        <w:rPr>
          <w:lang w:eastAsia="x-none"/>
        </w:rPr>
      </w:pPr>
    </w:p>
    <w:p w14:paraId="0C713FE2" w14:textId="77777777" w:rsidR="00364C98" w:rsidRDefault="00364C98" w:rsidP="00364C98">
      <w:pPr>
        <w:rPr>
          <w:b/>
          <w:highlight w:val="green"/>
          <w:lang w:eastAsia="x-none"/>
        </w:rPr>
      </w:pPr>
      <w:r>
        <w:rPr>
          <w:b/>
          <w:highlight w:val="green"/>
          <w:lang w:eastAsia="x-none"/>
        </w:rPr>
        <w:t xml:space="preserve">Agreement </w:t>
      </w:r>
    </w:p>
    <w:p w14:paraId="6FAC7BD8" w14:textId="77777777" w:rsidR="00364C98" w:rsidRPr="00731218" w:rsidRDefault="00364C98" w:rsidP="00364C98">
      <w:pPr>
        <w:pStyle w:val="Proposal"/>
        <w:overflowPunct/>
        <w:autoSpaceDE/>
        <w:adjustRightInd/>
        <w:spacing w:after="0"/>
        <w:ind w:left="0" w:firstLine="0"/>
        <w:jc w:val="left"/>
        <w:rPr>
          <w:rFonts w:cs="Arial"/>
          <w:b w:val="0"/>
          <w:lang w:eastAsia="en-US"/>
        </w:rPr>
      </w:pPr>
      <w:r w:rsidRPr="00731218">
        <w:rPr>
          <w:rFonts w:cs="Arial"/>
          <w:b w:val="0"/>
        </w:rPr>
        <w:t>For CE mode A, HARQ ACK/NACK feedback bundling on PUCCH can be enabled or disabled by [RRC and/or DCI], when multiple DL transport blocks are assigned by a single DCI (details FFS). If the network does not enable it, each TB has its own separately encoded HARQ ACK/NACK feedback</w:t>
      </w:r>
    </w:p>
    <w:p w14:paraId="4717F6E5" w14:textId="77777777" w:rsidR="00364C98" w:rsidRDefault="00364C98" w:rsidP="00364C98">
      <w:pPr>
        <w:numPr>
          <w:ilvl w:val="0"/>
          <w:numId w:val="41"/>
        </w:numPr>
        <w:spacing w:after="0"/>
        <w:rPr>
          <w:lang w:eastAsia="x-none"/>
        </w:rPr>
      </w:pPr>
      <w:r>
        <w:rPr>
          <w:rFonts w:cs="Arial"/>
        </w:rPr>
        <w:t>FFS: Maximum bundle size</w:t>
      </w:r>
    </w:p>
    <w:p w14:paraId="7D67788B" w14:textId="77777777" w:rsidR="00364C98" w:rsidRDefault="00364C98" w:rsidP="00364C98">
      <w:pPr>
        <w:rPr>
          <w:lang w:eastAsia="x-none"/>
        </w:rPr>
      </w:pPr>
    </w:p>
    <w:p w14:paraId="05886609" w14:textId="77777777" w:rsidR="00364C98" w:rsidRDefault="00364C98" w:rsidP="00364C98">
      <w:pPr>
        <w:rPr>
          <w:b/>
          <w:highlight w:val="green"/>
          <w:lang w:eastAsia="x-none"/>
        </w:rPr>
      </w:pPr>
      <w:r>
        <w:rPr>
          <w:b/>
          <w:highlight w:val="green"/>
          <w:lang w:eastAsia="x-none"/>
        </w:rPr>
        <w:t xml:space="preserve">Agreement </w:t>
      </w:r>
    </w:p>
    <w:p w14:paraId="5CBF0C5C" w14:textId="77777777" w:rsidR="00364C98" w:rsidRPr="00731218" w:rsidRDefault="00364C98" w:rsidP="00364C98">
      <w:pPr>
        <w:pStyle w:val="Proposal"/>
        <w:overflowPunct/>
        <w:autoSpaceDE/>
        <w:adjustRightInd/>
        <w:spacing w:after="0"/>
        <w:ind w:left="0" w:firstLine="0"/>
        <w:jc w:val="left"/>
        <w:rPr>
          <w:b w:val="0"/>
          <w:lang w:eastAsia="en-US"/>
        </w:rPr>
      </w:pPr>
      <w:r w:rsidRPr="00731218">
        <w:rPr>
          <w:b w:val="0"/>
        </w:rPr>
        <w:t xml:space="preserve">For the DL unicast for a UE, when multiple TBs are scheduled by one DCI, the parameter value for number of </w:t>
      </w:r>
      <w:r w:rsidRPr="00731218">
        <w:rPr>
          <w:rFonts w:cs="Arial"/>
          <w:b w:val="0"/>
        </w:rPr>
        <w:t>PDSCH</w:t>
      </w:r>
      <w:r w:rsidRPr="00731218">
        <w:rPr>
          <w:b w:val="0"/>
        </w:rPr>
        <w:t xml:space="preserve"> repetitions is the same across all the TBs scheduled by that DCI, and there is only a single parameter field for number of MPDCCH repetitions and only a single parameter field for SRS request.</w:t>
      </w:r>
    </w:p>
    <w:p w14:paraId="2849FBE4" w14:textId="77777777" w:rsidR="00364C98" w:rsidRDefault="00364C98" w:rsidP="00364C98">
      <w:pPr>
        <w:rPr>
          <w:lang w:eastAsia="x-none"/>
        </w:rPr>
      </w:pPr>
    </w:p>
    <w:p w14:paraId="395124D5" w14:textId="77777777" w:rsidR="00364C98" w:rsidRDefault="00364C98" w:rsidP="00364C98">
      <w:pPr>
        <w:rPr>
          <w:b/>
          <w:highlight w:val="green"/>
          <w:lang w:eastAsia="x-none"/>
        </w:rPr>
      </w:pPr>
      <w:r>
        <w:rPr>
          <w:b/>
          <w:highlight w:val="green"/>
          <w:lang w:eastAsia="x-none"/>
        </w:rPr>
        <w:t xml:space="preserve">Agreement </w:t>
      </w:r>
    </w:p>
    <w:p w14:paraId="70B14FE6" w14:textId="559A2192" w:rsidR="00364C98" w:rsidRDefault="00364C98" w:rsidP="00364C98">
      <w:r w:rsidRPr="00731218">
        <w:t>For scheduling of multiple TBs with SC-MTCH, the same parameter values for {</w:t>
      </w:r>
      <w:r w:rsidRPr="00731218">
        <w:rPr>
          <w:rFonts w:cs="Arial"/>
        </w:rPr>
        <w:t>MCS, resource assignment, number of repetitions}</w:t>
      </w:r>
      <w:r w:rsidRPr="00731218">
        <w:t xml:space="preserve"> is used for all TBs</w:t>
      </w:r>
    </w:p>
    <w:p w14:paraId="58916D44" w14:textId="17DD8618" w:rsidR="00C85EDD" w:rsidRDefault="00C85EDD" w:rsidP="00C85EDD">
      <w:pPr>
        <w:rPr>
          <w:rFonts w:eastAsia="MS Mincho"/>
          <w:lang w:val="en-US"/>
        </w:rPr>
      </w:pPr>
      <w:r w:rsidRPr="00C85EDD">
        <w:rPr>
          <w:rFonts w:eastAsia="MS Mincho"/>
          <w:highlight w:val="cyan"/>
          <w:lang w:val="en-US"/>
        </w:rPr>
        <w:t>RAN1#97</w:t>
      </w:r>
    </w:p>
    <w:p w14:paraId="1506C3DF" w14:textId="3F94EFB8" w:rsidR="00812031" w:rsidRDefault="00812031" w:rsidP="00364C98"/>
    <w:p w14:paraId="0987C590" w14:textId="4594186D" w:rsidR="00812031" w:rsidRDefault="00812031" w:rsidP="00812031">
      <w:pPr>
        <w:rPr>
          <w:rFonts w:eastAsia="MS Mincho"/>
          <w:lang w:val="en-US"/>
        </w:rPr>
      </w:pPr>
    </w:p>
    <w:p w14:paraId="628940CF" w14:textId="77777777" w:rsidR="00C85EDD" w:rsidRDefault="00C85EDD" w:rsidP="00C85EDD">
      <w:pPr>
        <w:pStyle w:val="Proposal"/>
        <w:overflowPunct/>
        <w:autoSpaceDE/>
        <w:adjustRightInd/>
        <w:spacing w:after="0"/>
        <w:jc w:val="left"/>
        <w:rPr>
          <w:rFonts w:cs="Arial"/>
          <w:highlight w:val="darkYellow"/>
        </w:rPr>
      </w:pPr>
      <w:r>
        <w:rPr>
          <w:rFonts w:cs="Arial"/>
          <w:highlight w:val="darkYellow"/>
        </w:rPr>
        <w:t>Working Assumption</w:t>
      </w:r>
    </w:p>
    <w:p w14:paraId="46884327" w14:textId="77777777" w:rsidR="00C85EDD" w:rsidRDefault="00C85EDD" w:rsidP="00C85EDD">
      <w:pPr>
        <w:numPr>
          <w:ilvl w:val="0"/>
          <w:numId w:val="45"/>
        </w:numPr>
        <w:spacing w:after="0"/>
        <w:ind w:left="1440"/>
        <w:rPr>
          <w:lang w:val="en-US"/>
        </w:rPr>
      </w:pPr>
      <w:r>
        <w:rPr>
          <w:lang w:val="en-US"/>
        </w:rPr>
        <w:t>For unicast, scheduling of initial and retransmission TB(s) within one DCI is supported.</w:t>
      </w:r>
    </w:p>
    <w:p w14:paraId="748515F7" w14:textId="77777777" w:rsidR="00C85EDD" w:rsidRDefault="00C85EDD" w:rsidP="00C85EDD">
      <w:pPr>
        <w:numPr>
          <w:ilvl w:val="0"/>
          <w:numId w:val="45"/>
        </w:numPr>
        <w:spacing w:after="0"/>
        <w:ind w:left="1440"/>
        <w:rPr>
          <w:lang w:val="en-US"/>
        </w:rPr>
      </w:pPr>
      <w:r>
        <w:rPr>
          <w:lang w:val="en-US"/>
        </w:rPr>
        <w:t>Till the RAN1#98 meeting, consider potential simplifications that can help achieve a tradeoff between scheduling flexibility and DCI size. For example:</w:t>
      </w:r>
    </w:p>
    <w:p w14:paraId="30A8AD07" w14:textId="77777777" w:rsidR="00C85EDD" w:rsidRDefault="00C85EDD" w:rsidP="00C85EDD">
      <w:pPr>
        <w:numPr>
          <w:ilvl w:val="1"/>
          <w:numId w:val="45"/>
        </w:numPr>
        <w:spacing w:after="0"/>
        <w:ind w:left="2160"/>
        <w:rPr>
          <w:lang w:val="en-US"/>
        </w:rPr>
      </w:pPr>
      <w:r>
        <w:rPr>
          <w:lang w:val="en-US"/>
        </w:rPr>
        <w:t xml:space="preserve">Configurable maximum number of TBs per grant </w:t>
      </w:r>
    </w:p>
    <w:p w14:paraId="5202A89A" w14:textId="77777777" w:rsidR="00C85EDD" w:rsidRDefault="00C85EDD" w:rsidP="00C85EDD">
      <w:pPr>
        <w:numPr>
          <w:ilvl w:val="1"/>
          <w:numId w:val="45"/>
        </w:numPr>
        <w:spacing w:after="0"/>
        <w:ind w:left="2160"/>
        <w:rPr>
          <w:lang w:val="en-US"/>
        </w:rPr>
      </w:pPr>
      <w:r>
        <w:rPr>
          <w:lang w:val="en-US"/>
        </w:rPr>
        <w:t xml:space="preserve">Maximum size of DCI </w:t>
      </w:r>
    </w:p>
    <w:p w14:paraId="4B0B0B97" w14:textId="77777777" w:rsidR="00C85EDD" w:rsidRDefault="00C85EDD" w:rsidP="00C85EDD">
      <w:pPr>
        <w:numPr>
          <w:ilvl w:val="1"/>
          <w:numId w:val="45"/>
        </w:numPr>
        <w:spacing w:after="0"/>
        <w:ind w:left="2160"/>
        <w:rPr>
          <w:lang w:val="en-US"/>
        </w:rPr>
      </w:pPr>
      <w:r>
        <w:rPr>
          <w:lang w:val="en-US"/>
        </w:rPr>
        <w:t>Joint coding of DCI fields</w:t>
      </w:r>
    </w:p>
    <w:p w14:paraId="01C86C10" w14:textId="77777777" w:rsidR="00C85EDD" w:rsidRDefault="00C85EDD" w:rsidP="00C85EDD">
      <w:pPr>
        <w:numPr>
          <w:ilvl w:val="1"/>
          <w:numId w:val="45"/>
        </w:numPr>
        <w:spacing w:after="0"/>
        <w:ind w:left="2160"/>
        <w:rPr>
          <w:lang w:val="en-US"/>
        </w:rPr>
      </w:pPr>
      <w:r>
        <w:rPr>
          <w:lang w:val="en-US"/>
        </w:rPr>
        <w:t>Reduced TBS choices</w:t>
      </w:r>
    </w:p>
    <w:p w14:paraId="00E64AE1" w14:textId="77777777" w:rsidR="00C85EDD" w:rsidRDefault="00C85EDD" w:rsidP="00C85EDD">
      <w:pPr>
        <w:numPr>
          <w:ilvl w:val="1"/>
          <w:numId w:val="45"/>
        </w:numPr>
        <w:spacing w:after="0"/>
        <w:ind w:left="2160"/>
        <w:rPr>
          <w:lang w:val="en-US"/>
        </w:rPr>
      </w:pPr>
      <w:r>
        <w:rPr>
          <w:lang w:val="en-US"/>
        </w:rPr>
        <w:t>Reduced resource allocation choices</w:t>
      </w:r>
    </w:p>
    <w:p w14:paraId="1DD33B89" w14:textId="77777777" w:rsidR="00C85EDD" w:rsidRDefault="00C85EDD" w:rsidP="00C85EDD">
      <w:pPr>
        <w:numPr>
          <w:ilvl w:val="1"/>
          <w:numId w:val="45"/>
        </w:numPr>
        <w:spacing w:after="0"/>
        <w:ind w:left="2160"/>
        <w:rPr>
          <w:lang w:val="en-US"/>
        </w:rPr>
      </w:pPr>
      <w:r>
        <w:rPr>
          <w:lang w:val="en-US"/>
        </w:rPr>
        <w:t>Reduced/eliminated RV field</w:t>
      </w:r>
    </w:p>
    <w:p w14:paraId="4B9FBE2C" w14:textId="77777777" w:rsidR="00C85EDD" w:rsidRDefault="00C85EDD" w:rsidP="00C85EDD">
      <w:pPr>
        <w:pStyle w:val="ListBullet"/>
        <w:widowControl/>
        <w:numPr>
          <w:ilvl w:val="0"/>
          <w:numId w:val="0"/>
        </w:numPr>
        <w:tabs>
          <w:tab w:val="left" w:pos="720"/>
        </w:tabs>
        <w:jc w:val="left"/>
      </w:pPr>
    </w:p>
    <w:p w14:paraId="4A4F68A6" w14:textId="77777777" w:rsidR="00C85EDD" w:rsidRDefault="00C85EDD" w:rsidP="00C85EDD">
      <w:pPr>
        <w:pStyle w:val="Proposal"/>
        <w:overflowPunct/>
        <w:autoSpaceDE/>
        <w:adjustRightInd/>
        <w:spacing w:after="0"/>
        <w:jc w:val="left"/>
        <w:rPr>
          <w:rFonts w:cs="Arial"/>
          <w:highlight w:val="darkYellow"/>
        </w:rPr>
      </w:pPr>
      <w:r>
        <w:rPr>
          <w:rFonts w:cs="Arial"/>
          <w:highlight w:val="darkYellow"/>
        </w:rPr>
        <w:t>Working Assumption</w:t>
      </w:r>
    </w:p>
    <w:p w14:paraId="636E958C" w14:textId="77777777" w:rsidR="00C85EDD" w:rsidRDefault="00C85EDD" w:rsidP="00C85EDD">
      <w:pPr>
        <w:pStyle w:val="Proposal"/>
        <w:overflowPunct/>
        <w:autoSpaceDE/>
        <w:adjustRightInd/>
        <w:spacing w:after="0"/>
        <w:ind w:left="0" w:firstLine="0"/>
        <w:jc w:val="left"/>
        <w:rPr>
          <w:rFonts w:cs="Arial"/>
          <w:b w:val="0"/>
        </w:rPr>
      </w:pPr>
      <w:r>
        <w:rPr>
          <w:rFonts w:cs="Arial"/>
          <w:b w:val="0"/>
        </w:rPr>
        <w:t xml:space="preserve">For unicast, </w:t>
      </w:r>
      <w:r>
        <w:rPr>
          <w:b w:val="0"/>
        </w:rPr>
        <w:t>scheduling</w:t>
      </w:r>
      <w:r>
        <w:rPr>
          <w:rFonts w:cs="Arial"/>
          <w:b w:val="0"/>
        </w:rPr>
        <w:t xml:space="preserve"> gaps for multiple transport blocks is supported and a scheduling gap can be configured by [RRC and/or DCI]</w:t>
      </w:r>
    </w:p>
    <w:p w14:paraId="246C159F" w14:textId="77777777" w:rsidR="00C85EDD" w:rsidRDefault="00C85EDD" w:rsidP="00C85EDD">
      <w:pPr>
        <w:numPr>
          <w:ilvl w:val="0"/>
          <w:numId w:val="45"/>
        </w:numPr>
        <w:spacing w:after="0"/>
        <w:ind w:left="1440"/>
      </w:pPr>
      <w:r>
        <w:rPr>
          <w:lang w:val="en-US"/>
        </w:rPr>
        <w:t>The</w:t>
      </w:r>
      <w:r>
        <w:t xml:space="preserve"> support of scheduling gaps is UE optional feature regardless of the support of multiple TBs</w:t>
      </w:r>
    </w:p>
    <w:p w14:paraId="61862E9B" w14:textId="77777777" w:rsidR="00C85EDD" w:rsidRDefault="00C85EDD" w:rsidP="00C85EDD">
      <w:pPr>
        <w:numPr>
          <w:ilvl w:val="0"/>
          <w:numId w:val="45"/>
        </w:numPr>
        <w:spacing w:after="0"/>
        <w:ind w:left="1440"/>
      </w:pPr>
      <w:r>
        <w:t>FFS: Details on the scheduling gap such as duration, applicability, etc.</w:t>
      </w:r>
    </w:p>
    <w:p w14:paraId="73B6D2D6" w14:textId="77777777" w:rsidR="00C85EDD" w:rsidRDefault="00C85EDD" w:rsidP="00C85EDD"/>
    <w:p w14:paraId="47C35679" w14:textId="77777777" w:rsidR="00C85EDD" w:rsidRDefault="00C85EDD" w:rsidP="00C85EDD">
      <w:pPr>
        <w:rPr>
          <w:b/>
          <w:highlight w:val="green"/>
        </w:rPr>
      </w:pPr>
      <w:r>
        <w:rPr>
          <w:b/>
          <w:highlight w:val="green"/>
        </w:rPr>
        <w:t>Agreement</w:t>
      </w:r>
    </w:p>
    <w:p w14:paraId="2BD94E2E" w14:textId="77777777" w:rsidR="00C85EDD" w:rsidRDefault="00C85EDD" w:rsidP="00C85EDD">
      <w:r>
        <w:t>For scheduling of multiple TBs with SC-MTCH, scheduling gaps are supported.</w:t>
      </w:r>
    </w:p>
    <w:p w14:paraId="4A98F59B" w14:textId="77777777" w:rsidR="00C85EDD" w:rsidRDefault="00C85EDD" w:rsidP="00C85EDD"/>
    <w:p w14:paraId="69130C4E" w14:textId="77777777" w:rsidR="00C85EDD" w:rsidRDefault="00C85EDD" w:rsidP="00C85EDD">
      <w:pPr>
        <w:rPr>
          <w:b/>
          <w:highlight w:val="green"/>
        </w:rPr>
      </w:pPr>
      <w:r>
        <w:rPr>
          <w:b/>
          <w:highlight w:val="green"/>
        </w:rPr>
        <w:t>Agreement</w:t>
      </w:r>
    </w:p>
    <w:p w14:paraId="5D79F6F2" w14:textId="1ACBF3BD" w:rsidR="00C85EDD" w:rsidRDefault="00C85EDD" w:rsidP="00C85EDD">
      <w:pPr>
        <w:rPr>
          <w:rFonts w:eastAsia="MS Mincho"/>
          <w:lang w:val="en-US"/>
        </w:rPr>
      </w:pPr>
      <w:r>
        <w:t xml:space="preserve">For scheduling of multiple TBs with SC-MTCH, a DCI field indicates the number of scheduled </w:t>
      </w:r>
      <w:proofErr w:type="spellStart"/>
      <w:r>
        <w:t>TBs.</w:t>
      </w:r>
      <w:proofErr w:type="spellEnd"/>
    </w:p>
    <w:p w14:paraId="43F3BBA4" w14:textId="787262DC" w:rsidR="00C85EDD" w:rsidRDefault="00C85EDD" w:rsidP="00812031">
      <w:pPr>
        <w:rPr>
          <w:rFonts w:eastAsia="MS Mincho"/>
          <w:lang w:val="en-US"/>
        </w:rPr>
      </w:pPr>
    </w:p>
    <w:p w14:paraId="45480B1C" w14:textId="00D695EC" w:rsidR="00466C8C" w:rsidRDefault="004D5BF4" w:rsidP="00855F39">
      <w:pPr>
        <w:rPr>
          <w:rFonts w:eastAsia="MS Mincho"/>
          <w:lang w:val="en-US"/>
        </w:rPr>
      </w:pPr>
      <w:r>
        <w:rPr>
          <w:rFonts w:eastAsia="MS Mincho"/>
          <w:lang w:val="en-US"/>
        </w:rPr>
        <w:t xml:space="preserve">This contribution </w:t>
      </w:r>
      <w:r w:rsidR="00F912B3">
        <w:rPr>
          <w:rFonts w:eastAsia="MS Mincho"/>
          <w:lang w:val="en-US"/>
        </w:rPr>
        <w:t xml:space="preserve">discusses </w:t>
      </w:r>
      <w:r w:rsidR="00DB0C2A">
        <w:rPr>
          <w:rFonts w:eastAsia="MS Mincho"/>
          <w:lang w:val="en-US"/>
        </w:rPr>
        <w:t xml:space="preserve">the following </w:t>
      </w:r>
      <w:r w:rsidR="005C19D9">
        <w:rPr>
          <w:rFonts w:eastAsia="MS Mincho"/>
          <w:lang w:val="en-US"/>
        </w:rPr>
        <w:t xml:space="preserve">remaining </w:t>
      </w:r>
      <w:r w:rsidR="00DB0C2A">
        <w:rPr>
          <w:rFonts w:eastAsia="MS Mincho"/>
          <w:lang w:val="en-US"/>
        </w:rPr>
        <w:t>issues</w:t>
      </w:r>
      <w:r w:rsidR="00F912B3">
        <w:rPr>
          <w:rFonts w:eastAsia="MS Mincho"/>
          <w:lang w:val="en-US"/>
        </w:rPr>
        <w:t xml:space="preserve"> on</w:t>
      </w:r>
      <w:r w:rsidR="005C19D9">
        <w:rPr>
          <w:rFonts w:eastAsia="MS Mincho"/>
          <w:lang w:val="en-US"/>
        </w:rPr>
        <w:t xml:space="preserve"> </w:t>
      </w:r>
      <w:r w:rsidR="00DB0C2A">
        <w:rPr>
          <w:rFonts w:eastAsia="MS Mincho"/>
          <w:lang w:val="en-US"/>
        </w:rPr>
        <w:t>scheduling of multiple DL / UL transport blocks</w:t>
      </w:r>
      <w:r w:rsidR="00466C8C">
        <w:rPr>
          <w:rFonts w:eastAsia="MS Mincho"/>
          <w:lang w:val="en-US"/>
        </w:rPr>
        <w:t>:</w:t>
      </w:r>
    </w:p>
    <w:p w14:paraId="4E80DE3E" w14:textId="1F3C818A" w:rsidR="00587AD5" w:rsidRPr="00D3198E" w:rsidRDefault="00A3558A" w:rsidP="00587AD5">
      <w:pPr>
        <w:pStyle w:val="ListParagraph"/>
        <w:numPr>
          <w:ilvl w:val="0"/>
          <w:numId w:val="30"/>
        </w:numPr>
        <w:rPr>
          <w:rFonts w:eastAsia="MS Mincho"/>
          <w:lang w:val="en-US"/>
        </w:rPr>
      </w:pPr>
      <w:r w:rsidRPr="00D3198E">
        <w:rPr>
          <w:rFonts w:eastAsia="MS Mincho"/>
          <w:lang w:val="en-US"/>
        </w:rPr>
        <w:t>Use of scheduling gaps for multiple TBs</w:t>
      </w:r>
      <w:r w:rsidR="00C85EDD" w:rsidRPr="00D3198E">
        <w:rPr>
          <w:rFonts w:eastAsia="MS Mincho"/>
          <w:lang w:val="en-US"/>
        </w:rPr>
        <w:t>: confirmation of the working assumption and details on the scheduling gap configuration and operation</w:t>
      </w:r>
    </w:p>
    <w:p w14:paraId="6F4240B4" w14:textId="74D6D03C" w:rsidR="00C85EDD" w:rsidRPr="00D3198E" w:rsidRDefault="00C85EDD" w:rsidP="00587AD5">
      <w:pPr>
        <w:pStyle w:val="ListParagraph"/>
        <w:numPr>
          <w:ilvl w:val="0"/>
          <w:numId w:val="30"/>
        </w:numPr>
        <w:rPr>
          <w:rFonts w:eastAsia="MS Mincho"/>
          <w:lang w:val="en-US"/>
        </w:rPr>
      </w:pPr>
      <w:r w:rsidRPr="00D3198E">
        <w:rPr>
          <w:rFonts w:eastAsia="MS Mincho"/>
          <w:lang w:val="en-US"/>
        </w:rPr>
        <w:t>Scheduling of initial transmissions and re-transmissions within one DCI</w:t>
      </w:r>
    </w:p>
    <w:p w14:paraId="58B3DC9D" w14:textId="1D8C8A66" w:rsidR="00A3558A" w:rsidRPr="00D3198E" w:rsidRDefault="00A3558A" w:rsidP="00466C8C">
      <w:pPr>
        <w:pStyle w:val="ListParagraph"/>
        <w:numPr>
          <w:ilvl w:val="0"/>
          <w:numId w:val="30"/>
        </w:numPr>
        <w:rPr>
          <w:rFonts w:eastAsia="MS Mincho"/>
          <w:lang w:val="en-US"/>
        </w:rPr>
      </w:pPr>
      <w:r w:rsidRPr="00D3198E">
        <w:rPr>
          <w:rFonts w:eastAsia="MS Mincho"/>
          <w:lang w:val="en-US"/>
        </w:rPr>
        <w:t xml:space="preserve">Multiplexing </w:t>
      </w:r>
      <w:r w:rsidR="0023629F" w:rsidRPr="00D3198E">
        <w:rPr>
          <w:rFonts w:eastAsia="MS Mincho"/>
          <w:lang w:val="en-US"/>
        </w:rPr>
        <w:t xml:space="preserve">/ bundling </w:t>
      </w:r>
      <w:r w:rsidRPr="00D3198E">
        <w:rPr>
          <w:rFonts w:eastAsia="MS Mincho"/>
          <w:lang w:val="en-US"/>
        </w:rPr>
        <w:t>of HARQ ACK/NACK feedback</w:t>
      </w:r>
    </w:p>
    <w:p w14:paraId="44C1F1F6" w14:textId="3BBD2621" w:rsidR="00855F39" w:rsidRPr="00D3198E" w:rsidRDefault="00154A2B" w:rsidP="00855F39">
      <w:pPr>
        <w:pStyle w:val="ListParagraph"/>
        <w:numPr>
          <w:ilvl w:val="0"/>
          <w:numId w:val="30"/>
        </w:numPr>
        <w:rPr>
          <w:rFonts w:eastAsia="MS Mincho"/>
          <w:lang w:val="en-US"/>
        </w:rPr>
      </w:pPr>
      <w:r w:rsidRPr="00D3198E">
        <w:rPr>
          <w:rFonts w:eastAsia="MS Mincho"/>
          <w:lang w:val="en-US"/>
        </w:rPr>
        <w:t>Features from previous releases that can be configured with multiple transport block groups</w:t>
      </w:r>
    </w:p>
    <w:p w14:paraId="5F6C52D1" w14:textId="00E9A77B" w:rsidR="00F912B3" w:rsidRDefault="00A3558A" w:rsidP="00F912B3">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rPr>
          <w:rFonts w:eastAsia="MS Mincho"/>
          <w:lang w:val="en-US"/>
        </w:rPr>
      </w:pPr>
      <w:r>
        <w:t>Use of scheduling gaps for multiple TBs</w:t>
      </w:r>
    </w:p>
    <w:p w14:paraId="2D62E10B" w14:textId="4EA64727" w:rsidR="00F11865" w:rsidRPr="00F11865" w:rsidRDefault="00F11865" w:rsidP="0041482F">
      <w:pPr>
        <w:rPr>
          <w:b/>
          <w:u w:val="single"/>
          <w:lang w:val="en-US"/>
        </w:rPr>
      </w:pPr>
      <w:r w:rsidRPr="00F11865">
        <w:rPr>
          <w:b/>
          <w:u w:val="single"/>
          <w:lang w:val="en-US"/>
        </w:rPr>
        <w:t>Whether to support scheduling gaps or not</w:t>
      </w:r>
    </w:p>
    <w:p w14:paraId="43D54A6E" w14:textId="3389532B" w:rsidR="00DC0D2D" w:rsidRDefault="00DC0D2D" w:rsidP="0041482F">
      <w:pPr>
        <w:rPr>
          <w:lang w:val="en-US"/>
        </w:rPr>
      </w:pPr>
      <w:r>
        <w:rPr>
          <w:lang w:val="en-US"/>
        </w:rPr>
        <w:t>In RAN1#97 Reno, there was a working assumption that scheduling gaps would be supported within an MTBG transmission. In [</w:t>
      </w:r>
      <w:r w:rsidR="00D3198E">
        <w:rPr>
          <w:lang w:val="en-US"/>
        </w:rPr>
        <w:t>3</w:t>
      </w:r>
      <w:r>
        <w:rPr>
          <w:lang w:val="en-US"/>
        </w:rPr>
        <w:t xml:space="preserve">], we observed that while scheduling gaps had the potential to increase transmission delay and power consumption, provided the scheduling gap operation was configurable, the </w:t>
      </w:r>
      <w:proofErr w:type="spellStart"/>
      <w:r>
        <w:rPr>
          <w:lang w:val="en-US"/>
        </w:rPr>
        <w:t>eNB</w:t>
      </w:r>
      <w:proofErr w:type="spellEnd"/>
      <w:r>
        <w:rPr>
          <w:lang w:val="en-US"/>
        </w:rPr>
        <w:t xml:space="preserve"> could control and mitigate for these negative effects. Scheduling gaps however provided significant benefits in terms of scheduling flexibility and the support for early termination. Hence our overall view is that scheduling gaps should be supported for MTBG and that the working assumption should be confirmed.</w:t>
      </w:r>
    </w:p>
    <w:p w14:paraId="3998BC7F" w14:textId="77777777" w:rsidR="00DC0D2D" w:rsidRDefault="00DC0D2D" w:rsidP="0041482F">
      <w:pPr>
        <w:rPr>
          <w:lang w:val="en-US"/>
        </w:rPr>
      </w:pPr>
    </w:p>
    <w:p w14:paraId="099CCF46" w14:textId="1D56A58A" w:rsidR="00792E00" w:rsidRDefault="00792E00" w:rsidP="0041482F">
      <w:pPr>
        <w:rPr>
          <w:b/>
          <w:lang w:val="en-US"/>
        </w:rPr>
      </w:pPr>
      <w:r w:rsidRPr="00792E00">
        <w:rPr>
          <w:b/>
          <w:lang w:val="en-US"/>
        </w:rPr>
        <w:t xml:space="preserve">Proposal </w:t>
      </w:r>
      <w:r w:rsidR="00CA5461">
        <w:rPr>
          <w:b/>
          <w:lang w:val="en-US"/>
        </w:rPr>
        <w:t>1:</w:t>
      </w:r>
      <w:r w:rsidRPr="00792E00">
        <w:rPr>
          <w:b/>
          <w:lang w:val="en-US"/>
        </w:rPr>
        <w:t xml:space="preserve"> </w:t>
      </w:r>
      <w:r w:rsidR="00DC0D2D">
        <w:rPr>
          <w:b/>
          <w:lang w:val="en-US"/>
        </w:rPr>
        <w:t>Confirm the working assumption:</w:t>
      </w:r>
    </w:p>
    <w:p w14:paraId="4542407D" w14:textId="77777777" w:rsidR="00DC0D2D" w:rsidRPr="00DC0D2D" w:rsidRDefault="00DC0D2D" w:rsidP="00DC0D2D">
      <w:pPr>
        <w:pStyle w:val="Proposal"/>
        <w:overflowPunct/>
        <w:autoSpaceDE/>
        <w:adjustRightInd/>
        <w:spacing w:after="0"/>
        <w:ind w:left="0" w:firstLine="0"/>
        <w:jc w:val="left"/>
        <w:rPr>
          <w:rFonts w:cs="Arial"/>
          <w:b w:val="0"/>
          <w:i/>
        </w:rPr>
      </w:pPr>
      <w:r w:rsidRPr="00DC0D2D">
        <w:rPr>
          <w:rFonts w:cs="Arial"/>
          <w:b w:val="0"/>
          <w:i/>
        </w:rPr>
        <w:t xml:space="preserve">For unicast, </w:t>
      </w:r>
      <w:r w:rsidRPr="00DC0D2D">
        <w:rPr>
          <w:b w:val="0"/>
          <w:i/>
        </w:rPr>
        <w:t>scheduling</w:t>
      </w:r>
      <w:r w:rsidRPr="00DC0D2D">
        <w:rPr>
          <w:rFonts w:cs="Arial"/>
          <w:b w:val="0"/>
          <w:i/>
        </w:rPr>
        <w:t xml:space="preserve"> gaps for multiple transport blocks is supported and a scheduling gap can be configured by [RRC and/or DCI]</w:t>
      </w:r>
    </w:p>
    <w:p w14:paraId="19B0E151" w14:textId="77777777" w:rsidR="00DC0D2D" w:rsidRPr="00DC0D2D" w:rsidRDefault="00DC0D2D" w:rsidP="00DC0D2D">
      <w:pPr>
        <w:numPr>
          <w:ilvl w:val="0"/>
          <w:numId w:val="45"/>
        </w:numPr>
        <w:spacing w:after="0"/>
        <w:ind w:left="1440"/>
        <w:rPr>
          <w:i/>
        </w:rPr>
      </w:pPr>
      <w:r w:rsidRPr="00DC0D2D">
        <w:rPr>
          <w:i/>
          <w:lang w:val="en-US"/>
        </w:rPr>
        <w:t>The</w:t>
      </w:r>
      <w:r w:rsidRPr="00DC0D2D">
        <w:rPr>
          <w:i/>
        </w:rPr>
        <w:t xml:space="preserve"> support of scheduling gaps is UE optional feature regardless of the support of multiple TBs</w:t>
      </w:r>
    </w:p>
    <w:p w14:paraId="31C0951A" w14:textId="77777777" w:rsidR="00DC0D2D" w:rsidRDefault="00DC0D2D" w:rsidP="00DC0D2D">
      <w:pPr>
        <w:numPr>
          <w:ilvl w:val="0"/>
          <w:numId w:val="45"/>
        </w:numPr>
        <w:spacing w:after="0"/>
        <w:ind w:left="1440"/>
      </w:pPr>
      <w:r w:rsidRPr="00DC0D2D">
        <w:rPr>
          <w:i/>
        </w:rPr>
        <w:t>FFS: Details on the scheduling gap such as duration, applicability, etc</w:t>
      </w:r>
      <w:r>
        <w:t>.</w:t>
      </w:r>
    </w:p>
    <w:p w14:paraId="20196F88" w14:textId="77777777" w:rsidR="00DC0D2D" w:rsidRPr="00DC0D2D" w:rsidRDefault="00DC0D2D" w:rsidP="0041482F"/>
    <w:p w14:paraId="47D11AF1" w14:textId="1DF2F9D2" w:rsidR="00C85EDD" w:rsidRPr="00F11865" w:rsidRDefault="00F11865" w:rsidP="0041482F">
      <w:pPr>
        <w:rPr>
          <w:b/>
          <w:u w:val="single"/>
          <w:lang w:val="en-US"/>
        </w:rPr>
      </w:pPr>
      <w:r w:rsidRPr="00F11865">
        <w:rPr>
          <w:b/>
          <w:u w:val="single"/>
          <w:lang w:val="en-US"/>
        </w:rPr>
        <w:lastRenderedPageBreak/>
        <w:t>Configuration of scheduling gaps</w:t>
      </w:r>
    </w:p>
    <w:p w14:paraId="0D66B021" w14:textId="1BAA54D3" w:rsidR="00F11865" w:rsidRDefault="00F11865" w:rsidP="0041482F">
      <w:pPr>
        <w:rPr>
          <w:lang w:val="en-US"/>
        </w:rPr>
      </w:pPr>
      <w:r>
        <w:rPr>
          <w:lang w:val="en-US"/>
        </w:rPr>
        <w:t>There are two choices for the configuration of scheduling gaps (according to the working assumption from RAN1#97 Reno): via RRC or via DCI.</w:t>
      </w:r>
    </w:p>
    <w:p w14:paraId="7084E1AA" w14:textId="5D60FA75" w:rsidR="00F11865" w:rsidRDefault="00F11865" w:rsidP="0041482F">
      <w:pPr>
        <w:rPr>
          <w:lang w:val="en-US"/>
        </w:rPr>
      </w:pPr>
      <w:r>
        <w:rPr>
          <w:lang w:val="en-US"/>
        </w:rPr>
        <w:t xml:space="preserve">At the time of scheduling an MTBG transmission, the </w:t>
      </w:r>
      <w:proofErr w:type="spellStart"/>
      <w:r>
        <w:rPr>
          <w:lang w:val="en-US"/>
        </w:rPr>
        <w:t>eNB</w:t>
      </w:r>
      <w:proofErr w:type="spellEnd"/>
      <w:r>
        <w:rPr>
          <w:lang w:val="en-US"/>
        </w:rPr>
        <w:t xml:space="preserve"> is unlikely to know what data might need to be scheduled in the future. Indeed, if the </w:t>
      </w:r>
      <w:proofErr w:type="spellStart"/>
      <w:r>
        <w:rPr>
          <w:lang w:val="en-US"/>
        </w:rPr>
        <w:t>eNB</w:t>
      </w:r>
      <w:proofErr w:type="spellEnd"/>
      <w:r>
        <w:rPr>
          <w:lang w:val="en-US"/>
        </w:rPr>
        <w:t xml:space="preserve"> knew that something needed scheduling at a specific time in the future, it would either not use MTBG or transmit a small number of transport blocks within the MTBG transmission (such that the MTBG transmission didn’t collide the data to be scheduled in the future). Hence the </w:t>
      </w:r>
      <w:proofErr w:type="spellStart"/>
      <w:r>
        <w:rPr>
          <w:lang w:val="en-US"/>
        </w:rPr>
        <w:t>eNB</w:t>
      </w:r>
      <w:proofErr w:type="spellEnd"/>
      <w:r>
        <w:rPr>
          <w:lang w:val="en-US"/>
        </w:rPr>
        <w:t xml:space="preserve"> is not likely to dynamically decide to insert scheduling gaps, rather the use of scheduling gaps would be a semi-static decision, e.g. based on an </w:t>
      </w:r>
      <w:proofErr w:type="spellStart"/>
      <w:r>
        <w:rPr>
          <w:lang w:val="en-US"/>
        </w:rPr>
        <w:t>eNB</w:t>
      </w:r>
      <w:proofErr w:type="spellEnd"/>
      <w:r>
        <w:rPr>
          <w:lang w:val="en-US"/>
        </w:rPr>
        <w:t xml:space="preserve"> scheduling policy. Since the decision to use scheduling gaps is likely to be a semi-static decision, we think that the use of RRC signaling is a suitable method for configuring scheduling gaps.</w:t>
      </w:r>
    </w:p>
    <w:p w14:paraId="6C7535BB" w14:textId="7691B338" w:rsidR="00F11865" w:rsidRPr="00F11865" w:rsidRDefault="00F11865" w:rsidP="0041482F">
      <w:pPr>
        <w:rPr>
          <w:b/>
          <w:lang w:val="en-US"/>
        </w:rPr>
      </w:pPr>
      <w:r w:rsidRPr="00F11865">
        <w:rPr>
          <w:b/>
          <w:lang w:val="en-US"/>
        </w:rPr>
        <w:t>Proposal 2: MTBG scheduling gaps are configured by RRC.</w:t>
      </w:r>
    </w:p>
    <w:p w14:paraId="4E956327" w14:textId="5638EB57" w:rsidR="00F11865" w:rsidRDefault="00F11865" w:rsidP="0041482F">
      <w:pPr>
        <w:rPr>
          <w:lang w:val="en-US"/>
        </w:rPr>
      </w:pPr>
      <w:r>
        <w:rPr>
          <w:lang w:val="en-US"/>
        </w:rPr>
        <w:t>The aspects of the scheduling gaps that should be configured include:</w:t>
      </w:r>
    </w:p>
    <w:p w14:paraId="60A94E35" w14:textId="37010582" w:rsidR="00F11865" w:rsidRDefault="00F11865" w:rsidP="00F11865">
      <w:pPr>
        <w:pStyle w:val="ListParagraph"/>
        <w:numPr>
          <w:ilvl w:val="0"/>
          <w:numId w:val="46"/>
        </w:numPr>
        <w:rPr>
          <w:lang w:val="en-US"/>
        </w:rPr>
      </w:pPr>
      <w:r>
        <w:rPr>
          <w:lang w:val="en-US"/>
        </w:rPr>
        <w:t>Duration of scheduling gaps (i.e. how long the scheduling gap is in terms of number of subframes)</w:t>
      </w:r>
      <w:r w:rsidR="00D910D4">
        <w:rPr>
          <w:lang w:val="en-US"/>
        </w:rPr>
        <w:t>.</w:t>
      </w:r>
    </w:p>
    <w:p w14:paraId="096FC37A" w14:textId="3D3D1548" w:rsidR="00F11865" w:rsidRDefault="00F11865" w:rsidP="00F11865">
      <w:pPr>
        <w:pStyle w:val="ListParagraph"/>
        <w:numPr>
          <w:ilvl w:val="0"/>
          <w:numId w:val="46"/>
        </w:numPr>
        <w:rPr>
          <w:lang w:val="en-US"/>
        </w:rPr>
      </w:pPr>
      <w:r>
        <w:rPr>
          <w:lang w:val="en-US"/>
        </w:rPr>
        <w:t>Number of subframes of MTBG transmission before a scheduling gap is inserted</w:t>
      </w:r>
      <w:r w:rsidR="00D910D4">
        <w:rPr>
          <w:lang w:val="en-US"/>
        </w:rPr>
        <w:t>.</w:t>
      </w:r>
    </w:p>
    <w:p w14:paraId="274FD892" w14:textId="7A40CAD2" w:rsidR="00F11865" w:rsidRDefault="00F11865" w:rsidP="00F11865">
      <w:pPr>
        <w:pStyle w:val="ListParagraph"/>
        <w:numPr>
          <w:ilvl w:val="0"/>
          <w:numId w:val="46"/>
        </w:numPr>
        <w:rPr>
          <w:lang w:val="en-US"/>
        </w:rPr>
      </w:pPr>
      <w:r>
        <w:rPr>
          <w:lang w:val="en-US"/>
        </w:rPr>
        <w:t xml:space="preserve">Offset of scheduling gap. </w:t>
      </w:r>
      <w:r w:rsidR="00D910D4">
        <w:rPr>
          <w:lang w:val="en-US"/>
        </w:rPr>
        <w:t>The SFN at which a scheduling gap commences (i.e. time offset of the start of the scheduling gap) would need to be known to the UE. Although it</w:t>
      </w:r>
      <w:r>
        <w:rPr>
          <w:lang w:val="en-US"/>
        </w:rPr>
        <w:t xml:space="preserve"> is likely that scheduling gaps within a narrowband and between </w:t>
      </w:r>
      <w:proofErr w:type="spellStart"/>
      <w:r>
        <w:rPr>
          <w:lang w:val="en-US"/>
        </w:rPr>
        <w:t>narrowbands</w:t>
      </w:r>
      <w:proofErr w:type="spellEnd"/>
      <w:r>
        <w:rPr>
          <w:lang w:val="en-US"/>
        </w:rPr>
        <w:t xml:space="preserve"> would need to be aligned in order to allow other UEs (e.g. smartphones) to be scheduled across a wide bandwidth in the scheduling gap</w:t>
      </w:r>
      <w:r w:rsidR="00D910D4">
        <w:rPr>
          <w:lang w:val="en-US"/>
        </w:rPr>
        <w:t xml:space="preserve">, flexible signaling of the time offset of the scheduling gap would allow the </w:t>
      </w:r>
      <w:proofErr w:type="spellStart"/>
      <w:r w:rsidR="00D910D4">
        <w:rPr>
          <w:lang w:val="en-US"/>
        </w:rPr>
        <w:t>eNB</w:t>
      </w:r>
      <w:proofErr w:type="spellEnd"/>
      <w:r w:rsidR="00D910D4">
        <w:rPr>
          <w:lang w:val="en-US"/>
        </w:rPr>
        <w:t xml:space="preserve"> to align scheduling gaps as a scheduling policy. </w:t>
      </w:r>
    </w:p>
    <w:p w14:paraId="22B1E3A2" w14:textId="697F1DA2" w:rsidR="00D910D4" w:rsidRDefault="00D910D4" w:rsidP="00D910D4">
      <w:pPr>
        <w:rPr>
          <w:lang w:val="en-US"/>
        </w:rPr>
      </w:pPr>
      <w:r>
        <w:rPr>
          <w:lang w:val="en-US"/>
        </w:rPr>
        <w:t>The above configurations can all be semi-statically signaled via RRC signaling.</w:t>
      </w:r>
    </w:p>
    <w:p w14:paraId="11AC83EF" w14:textId="05C539DB" w:rsidR="00D910D4" w:rsidRDefault="00D910D4" w:rsidP="00D910D4">
      <w:pPr>
        <w:rPr>
          <w:b/>
          <w:lang w:val="en-US"/>
        </w:rPr>
      </w:pPr>
      <w:r w:rsidRPr="00F11865">
        <w:rPr>
          <w:b/>
          <w:lang w:val="en-US"/>
        </w:rPr>
        <w:t xml:space="preserve">Proposal </w:t>
      </w:r>
      <w:r>
        <w:rPr>
          <w:b/>
          <w:lang w:val="en-US"/>
        </w:rPr>
        <w:t>3</w:t>
      </w:r>
      <w:r w:rsidRPr="00F11865">
        <w:rPr>
          <w:b/>
          <w:lang w:val="en-US"/>
        </w:rPr>
        <w:t xml:space="preserve">: </w:t>
      </w:r>
      <w:r>
        <w:rPr>
          <w:b/>
          <w:lang w:val="en-US"/>
        </w:rPr>
        <w:t>RRC signaling configures the following aspects of MTBG scheduling gaps:</w:t>
      </w:r>
    </w:p>
    <w:p w14:paraId="7A492D12" w14:textId="33C5AB85" w:rsidR="00D910D4" w:rsidRDefault="00D910D4" w:rsidP="00D910D4">
      <w:pPr>
        <w:pStyle w:val="ListParagraph"/>
        <w:numPr>
          <w:ilvl w:val="0"/>
          <w:numId w:val="47"/>
        </w:numPr>
        <w:rPr>
          <w:b/>
          <w:lang w:val="en-US"/>
        </w:rPr>
      </w:pPr>
      <w:r>
        <w:rPr>
          <w:b/>
          <w:lang w:val="en-US"/>
        </w:rPr>
        <w:t>Duration of scheduling gap</w:t>
      </w:r>
    </w:p>
    <w:p w14:paraId="4151D2C6" w14:textId="3D667F96" w:rsidR="00D910D4" w:rsidRDefault="00D910D4" w:rsidP="00D910D4">
      <w:pPr>
        <w:pStyle w:val="ListParagraph"/>
        <w:numPr>
          <w:ilvl w:val="0"/>
          <w:numId w:val="47"/>
        </w:numPr>
        <w:rPr>
          <w:b/>
          <w:lang w:val="en-US"/>
        </w:rPr>
      </w:pPr>
      <w:r>
        <w:rPr>
          <w:b/>
          <w:lang w:val="en-US"/>
        </w:rPr>
        <w:t>Number of subframes of MTBG transmission before a scheduling gap is inserted</w:t>
      </w:r>
    </w:p>
    <w:p w14:paraId="3F3AB389" w14:textId="72BC43CB" w:rsidR="00D910D4" w:rsidRDefault="00D910D4" w:rsidP="00D910D4">
      <w:pPr>
        <w:pStyle w:val="ListParagraph"/>
        <w:numPr>
          <w:ilvl w:val="0"/>
          <w:numId w:val="47"/>
        </w:numPr>
        <w:rPr>
          <w:b/>
          <w:lang w:val="en-US"/>
        </w:rPr>
      </w:pPr>
      <w:r>
        <w:rPr>
          <w:b/>
          <w:lang w:val="en-US"/>
        </w:rPr>
        <w:t>Time offset of scheduling gap</w:t>
      </w:r>
    </w:p>
    <w:p w14:paraId="3B81B0E4" w14:textId="0EFFC2F9" w:rsidR="00D910D4" w:rsidRDefault="00D910D4" w:rsidP="00D910D4">
      <w:pPr>
        <w:rPr>
          <w:b/>
          <w:lang w:val="en-US"/>
        </w:rPr>
      </w:pPr>
    </w:p>
    <w:p w14:paraId="04E78CEC" w14:textId="25181A4A" w:rsidR="00D910D4" w:rsidRPr="00D910D4" w:rsidRDefault="00D910D4" w:rsidP="00D910D4">
      <w:pPr>
        <w:rPr>
          <w:b/>
          <w:u w:val="single"/>
          <w:lang w:val="en-US"/>
        </w:rPr>
      </w:pPr>
      <w:r w:rsidRPr="00D910D4">
        <w:rPr>
          <w:b/>
          <w:u w:val="single"/>
          <w:lang w:val="en-US"/>
        </w:rPr>
        <w:t>Scheduling other UEs during a scheduling gap</w:t>
      </w:r>
    </w:p>
    <w:p w14:paraId="07BE283F" w14:textId="6196E792" w:rsidR="00D910D4" w:rsidRDefault="007C4266" w:rsidP="00D910D4">
      <w:pPr>
        <w:rPr>
          <w:lang w:val="en-US"/>
        </w:rPr>
      </w:pPr>
      <w:r>
        <w:rPr>
          <w:lang w:val="en-US"/>
        </w:rPr>
        <w:t>One of the major reasons for supporting scheduling gaps is to allow other UEs to be scheduled during an ongoing MTBG transmission</w:t>
      </w:r>
      <w:r w:rsidR="00D910D4" w:rsidRPr="00D910D4">
        <w:rPr>
          <w:lang w:val="en-US"/>
        </w:rPr>
        <w:t>.</w:t>
      </w:r>
      <w:r>
        <w:rPr>
          <w:lang w:val="en-US"/>
        </w:rPr>
        <w:t xml:space="preserve"> The MTBG scheduling gap thus provides </w:t>
      </w:r>
      <w:r w:rsidR="00502D2F">
        <w:rPr>
          <w:lang w:val="en-US"/>
        </w:rPr>
        <w:t>previously unallocated</w:t>
      </w:r>
      <w:r>
        <w:rPr>
          <w:lang w:val="en-US"/>
        </w:rPr>
        <w:t xml:space="preserve"> time and frequency resources to allow PDSCH / PUSCH to the transmitted to and from other UEs, including non-MTC UEs (such as smartphones or other legacy LTE devices).</w:t>
      </w:r>
    </w:p>
    <w:p w14:paraId="5DB57911" w14:textId="77777777" w:rsidR="00502D2F" w:rsidRDefault="007C4266" w:rsidP="00D910D4">
      <w:pPr>
        <w:rPr>
          <w:lang w:val="en-US"/>
        </w:rPr>
      </w:pPr>
      <w:r>
        <w:rPr>
          <w:lang w:val="en-US"/>
        </w:rPr>
        <w:t xml:space="preserve">At the time of scheduling an MTBG transmission, the </w:t>
      </w:r>
      <w:proofErr w:type="spellStart"/>
      <w:r>
        <w:rPr>
          <w:lang w:val="en-US"/>
        </w:rPr>
        <w:t>eNB</w:t>
      </w:r>
      <w:proofErr w:type="spellEnd"/>
      <w:r>
        <w:rPr>
          <w:lang w:val="en-US"/>
        </w:rPr>
        <w:t xml:space="preserve"> does not know how much resource will be required for scheduling other UEs, so it would be desirable to include the functionality of either extending the scheduling gap or terminating the MTBG transmission early within the scheduling gap</w:t>
      </w:r>
      <w:r w:rsidR="00502D2F">
        <w:rPr>
          <w:lang w:val="en-US"/>
        </w:rPr>
        <w:t>.</w:t>
      </w:r>
      <w:r>
        <w:rPr>
          <w:lang w:val="en-US"/>
        </w:rPr>
        <w:t xml:space="preserve"> </w:t>
      </w:r>
    </w:p>
    <w:p w14:paraId="10B4B353" w14:textId="07FAF0C8" w:rsidR="007C4266" w:rsidRDefault="00DE16ED" w:rsidP="00D910D4">
      <w:pPr>
        <w:rPr>
          <w:lang w:val="en-US"/>
        </w:rPr>
      </w:pPr>
      <w:r>
        <w:rPr>
          <w:highlight w:val="yellow"/>
          <w:lang w:val="en-US"/>
        </w:rPr>
        <w:fldChar w:fldCharType="begin"/>
      </w:r>
      <w:r>
        <w:rPr>
          <w:lang w:val="en-US"/>
        </w:rPr>
        <w:instrText xml:space="preserve"> REF _Ref16883114 \h </w:instrText>
      </w:r>
      <w:r>
        <w:rPr>
          <w:highlight w:val="yellow"/>
          <w:lang w:val="en-US"/>
        </w:rPr>
      </w:r>
      <w:r>
        <w:rPr>
          <w:highlight w:val="yellow"/>
          <w:lang w:val="en-US"/>
        </w:rPr>
        <w:fldChar w:fldCharType="separate"/>
      </w:r>
      <w:r w:rsidR="00502D2F">
        <w:t xml:space="preserve">Figure </w:t>
      </w:r>
      <w:r w:rsidR="00502D2F">
        <w:rPr>
          <w:noProof/>
        </w:rPr>
        <w:t>1</w:t>
      </w:r>
      <w:r>
        <w:rPr>
          <w:highlight w:val="yellow"/>
          <w:lang w:val="en-US"/>
        </w:rPr>
        <w:fldChar w:fldCharType="end"/>
      </w:r>
      <w:r w:rsidR="00502D2F">
        <w:rPr>
          <w:lang w:val="en-US"/>
        </w:rPr>
        <w:t xml:space="preserve"> shows a case where the scheduling gap cannot be extended (or the MTBG transmission cannot be early-terminated)</w:t>
      </w:r>
      <w:r w:rsidR="007C4266">
        <w:rPr>
          <w:lang w:val="en-US"/>
        </w:rPr>
        <w:t>.</w:t>
      </w:r>
      <w:r>
        <w:rPr>
          <w:lang w:val="en-US"/>
        </w:rPr>
        <w:t xml:space="preserve"> The figure shows an </w:t>
      </w:r>
      <w:proofErr w:type="gramStart"/>
      <w:r>
        <w:rPr>
          <w:lang w:val="en-US"/>
        </w:rPr>
        <w:t>8 transport</w:t>
      </w:r>
      <w:proofErr w:type="gramEnd"/>
      <w:r>
        <w:rPr>
          <w:lang w:val="en-US"/>
        </w:rPr>
        <w:t xml:space="preserve"> block MTBG transmission that is split into two sets of 4 transport block segments, separated by a scheduling gap. The scheduling gap is shown as being </w:t>
      </w:r>
      <w:proofErr w:type="gramStart"/>
      <w:r>
        <w:rPr>
          <w:lang w:val="en-US"/>
        </w:rPr>
        <w:t>sufficient</w:t>
      </w:r>
      <w:proofErr w:type="gramEnd"/>
      <w:r>
        <w:rPr>
          <w:lang w:val="en-US"/>
        </w:rPr>
        <w:t xml:space="preserve"> to schedule a wideband transmission across the system bandwidth to a smartphone (allocation A). </w:t>
      </w:r>
      <w:proofErr w:type="gramStart"/>
      <w:r>
        <w:rPr>
          <w:lang w:val="en-US"/>
        </w:rPr>
        <w:t>However</w:t>
      </w:r>
      <w:proofErr w:type="gramEnd"/>
      <w:r>
        <w:rPr>
          <w:lang w:val="en-US"/>
        </w:rPr>
        <w:t xml:space="preserve"> the scheduling gap is insufficient for scheduling allocation B to a different smartphone, since allocation B requires more time resources than are available during the scheduling gap.</w:t>
      </w:r>
    </w:p>
    <w:p w14:paraId="0F35CB1B" w14:textId="3F245F92" w:rsidR="007C4266" w:rsidRDefault="00721759" w:rsidP="00D910D4">
      <w:pPr>
        <w:rPr>
          <w:lang w:val="en-US"/>
        </w:rPr>
      </w:pPr>
      <w:r>
        <w:rPr>
          <w:noProof/>
          <w:lang w:val="en-US"/>
        </w:rPr>
        <w:lastRenderedPageBreak/>
        <w:drawing>
          <wp:inline distT="0" distB="0" distL="0" distR="0" wp14:anchorId="3668C5A5" wp14:editId="4485B78E">
            <wp:extent cx="6198841" cy="298048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26325" cy="2993696"/>
                    </a:xfrm>
                    <a:prstGeom prst="rect">
                      <a:avLst/>
                    </a:prstGeom>
                    <a:noFill/>
                  </pic:spPr>
                </pic:pic>
              </a:graphicData>
            </a:graphic>
          </wp:inline>
        </w:drawing>
      </w:r>
    </w:p>
    <w:p w14:paraId="71733B7A" w14:textId="16735EAA" w:rsidR="00DE16ED" w:rsidRDefault="00DE16ED" w:rsidP="00DE16ED">
      <w:pPr>
        <w:pStyle w:val="Caption"/>
        <w:jc w:val="center"/>
      </w:pPr>
      <w:bookmarkStart w:id="2" w:name="_Ref16883114"/>
      <w:r>
        <w:t xml:space="preserve">Figure </w:t>
      </w:r>
      <w:r w:rsidR="00CE2663">
        <w:fldChar w:fldCharType="begin"/>
      </w:r>
      <w:r w:rsidR="00CE2663">
        <w:instrText xml:space="preserve"> SEQ Figure \* ARABIC </w:instrText>
      </w:r>
      <w:r w:rsidR="00CE2663">
        <w:fldChar w:fldCharType="separate"/>
      </w:r>
      <w:r w:rsidR="00502D2F">
        <w:rPr>
          <w:noProof/>
        </w:rPr>
        <w:t>1</w:t>
      </w:r>
      <w:r w:rsidR="00CE2663">
        <w:rPr>
          <w:noProof/>
        </w:rPr>
        <w:fldChar w:fldCharType="end"/>
      </w:r>
      <w:bookmarkEnd w:id="2"/>
      <w:r>
        <w:t xml:space="preserve"> - Allocating other UEs during an MTBG scheduling gap</w:t>
      </w:r>
    </w:p>
    <w:p w14:paraId="64BAAC7E" w14:textId="616CB8DE" w:rsidR="004D243B" w:rsidRDefault="00502D2F" w:rsidP="004D243B">
      <w:pPr>
        <w:rPr>
          <w:lang w:val="en-US"/>
        </w:rPr>
      </w:pPr>
      <w:r>
        <w:rPr>
          <w:lang w:val="en-US"/>
        </w:rPr>
        <w:t>Hence it is apparent that to gain the most general benefit from the use of scheduling gaps, it should be possible to either extend the scheduling gap or early terminate the MTBG transmission. Our preference would be to early terminate the MTBG transmission in the scheduling gap (and then re-schedule the un-transmitted portions of the MTBG transmission at a later time), since this provides greater scheduling flexibility than extension of the scheduling gap (the scheduler is unlikely to know by how much the scheduling gap needs to be extended when it schedules another UE within the scheduling gap).</w:t>
      </w:r>
    </w:p>
    <w:p w14:paraId="25F88E25" w14:textId="62C46ED0" w:rsidR="004D243B" w:rsidRDefault="004D243B" w:rsidP="004D243B">
      <w:pPr>
        <w:rPr>
          <w:lang w:val="en-US"/>
        </w:rPr>
      </w:pPr>
      <w:r>
        <w:rPr>
          <w:lang w:val="en-US"/>
        </w:rPr>
        <w:fldChar w:fldCharType="begin"/>
      </w:r>
      <w:r>
        <w:rPr>
          <w:lang w:val="en-US"/>
        </w:rPr>
        <w:instrText xml:space="preserve"> REF _Ref16884412 \h </w:instrText>
      </w:r>
      <w:r>
        <w:rPr>
          <w:lang w:val="en-US"/>
        </w:rPr>
      </w:r>
      <w:r>
        <w:rPr>
          <w:lang w:val="en-US"/>
        </w:rPr>
        <w:fldChar w:fldCharType="separate"/>
      </w:r>
      <w:r w:rsidR="00502D2F">
        <w:t xml:space="preserve">Figure </w:t>
      </w:r>
      <w:r w:rsidR="00502D2F">
        <w:rPr>
          <w:noProof/>
        </w:rPr>
        <w:t>2</w:t>
      </w:r>
      <w:r>
        <w:rPr>
          <w:lang w:val="en-US"/>
        </w:rPr>
        <w:fldChar w:fldCharType="end"/>
      </w:r>
      <w:r>
        <w:rPr>
          <w:lang w:val="en-US"/>
        </w:rPr>
        <w:t xml:space="preserve"> shows early termination of an 8-TB MTBG transmission, where the early termination signaling occurs during the scheduling gap. Originally an 8-TB MTBG transmission is scheduled by MPDCCH (M1), but during the scheduling </w:t>
      </w:r>
      <w:r w:rsidR="00502D2F">
        <w:rPr>
          <w:lang w:val="en-US"/>
        </w:rPr>
        <w:t>g</w:t>
      </w:r>
      <w:r>
        <w:rPr>
          <w:lang w:val="en-US"/>
        </w:rPr>
        <w:t xml:space="preserve">ap, the scheduler decides to allocate resources to a smartphone, where the duration of the allocated resources is longer than the scheduling gap. Hence the </w:t>
      </w:r>
      <w:proofErr w:type="spellStart"/>
      <w:r>
        <w:rPr>
          <w:lang w:val="en-US"/>
        </w:rPr>
        <w:t>eNB</w:t>
      </w:r>
      <w:proofErr w:type="spellEnd"/>
      <w:r>
        <w:rPr>
          <w:lang w:val="en-US"/>
        </w:rPr>
        <w:t xml:space="preserve"> sends an MPDCCH (M2) to early terminate the second half of the 8-TB MTBG transmission. Once the allocation to the smartphone has finished, the </w:t>
      </w:r>
      <w:proofErr w:type="spellStart"/>
      <w:r>
        <w:rPr>
          <w:lang w:val="en-US"/>
        </w:rPr>
        <w:t>eNB</w:t>
      </w:r>
      <w:proofErr w:type="spellEnd"/>
      <w:r>
        <w:rPr>
          <w:lang w:val="en-US"/>
        </w:rPr>
        <w:t xml:space="preserve"> can send another MPDCCH (M3) to the </w:t>
      </w:r>
      <w:proofErr w:type="spellStart"/>
      <w:r>
        <w:rPr>
          <w:lang w:val="en-US"/>
        </w:rPr>
        <w:t>eMTC</w:t>
      </w:r>
      <w:proofErr w:type="spellEnd"/>
      <w:r>
        <w:rPr>
          <w:lang w:val="en-US"/>
        </w:rPr>
        <w:t xml:space="preserve"> UE to re-schedule the last 4 transport blocks (TBs 5 to 8) of the MTBG transmission.</w:t>
      </w:r>
    </w:p>
    <w:p w14:paraId="69A025EE" w14:textId="77777777" w:rsidR="004D243B" w:rsidRDefault="004D243B" w:rsidP="004D243B">
      <w:pPr>
        <w:rPr>
          <w:lang w:val="en-US"/>
        </w:rPr>
      </w:pPr>
    </w:p>
    <w:p w14:paraId="6BD41BD6" w14:textId="328FFBA1" w:rsidR="004D243B" w:rsidRDefault="004D243B" w:rsidP="004D243B">
      <w:pPr>
        <w:rPr>
          <w:lang w:val="en-US"/>
        </w:rPr>
      </w:pPr>
      <w:r>
        <w:rPr>
          <w:noProof/>
          <w:lang w:val="en-US"/>
        </w:rPr>
        <w:drawing>
          <wp:inline distT="0" distB="0" distL="0" distR="0" wp14:anchorId="4A883533" wp14:editId="032DB488">
            <wp:extent cx="6535576" cy="248477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83783" cy="2503099"/>
                    </a:xfrm>
                    <a:prstGeom prst="rect">
                      <a:avLst/>
                    </a:prstGeom>
                    <a:noFill/>
                  </pic:spPr>
                </pic:pic>
              </a:graphicData>
            </a:graphic>
          </wp:inline>
        </w:drawing>
      </w:r>
    </w:p>
    <w:p w14:paraId="16832C30" w14:textId="0225B7C1" w:rsidR="004D243B" w:rsidRDefault="004D243B" w:rsidP="004D243B">
      <w:pPr>
        <w:pStyle w:val="Caption"/>
        <w:jc w:val="center"/>
      </w:pPr>
      <w:bookmarkStart w:id="3" w:name="_Ref16884412"/>
      <w:r>
        <w:t xml:space="preserve">Figure </w:t>
      </w:r>
      <w:r w:rsidR="00CE2663">
        <w:fldChar w:fldCharType="begin"/>
      </w:r>
      <w:r w:rsidR="00CE2663">
        <w:instrText xml:space="preserve"> SEQ Figure \* ARABIC </w:instrText>
      </w:r>
      <w:r w:rsidR="00CE2663">
        <w:fldChar w:fldCharType="separate"/>
      </w:r>
      <w:r w:rsidR="00502D2F">
        <w:rPr>
          <w:noProof/>
        </w:rPr>
        <w:t>2</w:t>
      </w:r>
      <w:r w:rsidR="00CE2663">
        <w:rPr>
          <w:noProof/>
        </w:rPr>
        <w:fldChar w:fldCharType="end"/>
      </w:r>
      <w:bookmarkEnd w:id="3"/>
      <w:r>
        <w:t xml:space="preserve"> – Early termination signalling during an MTBG scheduling gap</w:t>
      </w:r>
    </w:p>
    <w:p w14:paraId="0250AABB" w14:textId="042800B0" w:rsidR="004D243B" w:rsidRDefault="004D243B" w:rsidP="004D243B">
      <w:pPr>
        <w:rPr>
          <w:b/>
          <w:lang w:val="en-US"/>
        </w:rPr>
      </w:pPr>
      <w:r w:rsidRPr="00F11865">
        <w:rPr>
          <w:b/>
          <w:lang w:val="en-US"/>
        </w:rPr>
        <w:t xml:space="preserve">Proposal </w:t>
      </w:r>
      <w:r>
        <w:rPr>
          <w:b/>
          <w:lang w:val="en-US"/>
        </w:rPr>
        <w:t>4</w:t>
      </w:r>
      <w:r w:rsidRPr="00F11865">
        <w:rPr>
          <w:b/>
          <w:lang w:val="en-US"/>
        </w:rPr>
        <w:t xml:space="preserve">: </w:t>
      </w:r>
      <w:r>
        <w:rPr>
          <w:b/>
          <w:lang w:val="en-US"/>
        </w:rPr>
        <w:t>During the scheduling gap, an MPDCCH can early terminate an MTBG transmission</w:t>
      </w:r>
      <w:r w:rsidR="004E4400">
        <w:rPr>
          <w:b/>
          <w:lang w:val="en-US"/>
        </w:rPr>
        <w:t>.</w:t>
      </w:r>
    </w:p>
    <w:p w14:paraId="22DF1E44" w14:textId="77777777" w:rsidR="004D243B" w:rsidRPr="004D243B" w:rsidRDefault="004D243B" w:rsidP="004D243B">
      <w:pPr>
        <w:rPr>
          <w:lang w:val="en-US"/>
        </w:rPr>
      </w:pPr>
    </w:p>
    <w:p w14:paraId="3827DC8F" w14:textId="254BB229" w:rsidR="00DC0D2D" w:rsidRDefault="00C85EDD" w:rsidP="004E4400">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lastRenderedPageBreak/>
        <w:t xml:space="preserve">Scheduling of initial transmissions and re-transmissions </w:t>
      </w:r>
    </w:p>
    <w:p w14:paraId="7C4A5246" w14:textId="2574FDAD" w:rsidR="004E4400" w:rsidRDefault="004E4400" w:rsidP="004E4400">
      <w:pPr>
        <w:rPr>
          <w:bCs/>
          <w:noProof/>
          <w:lang w:val="en-US" w:eastAsia="en-GB"/>
        </w:rPr>
      </w:pPr>
      <w:r>
        <w:rPr>
          <w:bCs/>
          <w:noProof/>
          <w:lang w:val="en-US" w:eastAsia="en-GB"/>
        </w:rPr>
        <w:t>The following working assumption was made at RAN1#97 Reno regarding the DCI design for scheduling initial transmissions and re-transmissions:</w:t>
      </w:r>
    </w:p>
    <w:p w14:paraId="5D4E584B" w14:textId="77777777" w:rsidR="004E4400" w:rsidRDefault="004E4400" w:rsidP="004E4400">
      <w:pPr>
        <w:pStyle w:val="Proposal"/>
        <w:overflowPunct/>
        <w:autoSpaceDE/>
        <w:adjustRightInd/>
        <w:spacing w:after="0"/>
        <w:jc w:val="left"/>
        <w:rPr>
          <w:rFonts w:cs="Arial"/>
          <w:highlight w:val="darkYellow"/>
        </w:rPr>
      </w:pPr>
      <w:r>
        <w:rPr>
          <w:rFonts w:cs="Arial"/>
          <w:highlight w:val="darkYellow"/>
        </w:rPr>
        <w:t>Working Assumption</w:t>
      </w:r>
    </w:p>
    <w:p w14:paraId="219E154E" w14:textId="77777777" w:rsidR="004E4400" w:rsidRDefault="004E4400" w:rsidP="004E4400">
      <w:pPr>
        <w:numPr>
          <w:ilvl w:val="0"/>
          <w:numId w:val="45"/>
        </w:numPr>
        <w:spacing w:after="0"/>
        <w:ind w:left="1440"/>
        <w:rPr>
          <w:lang w:val="en-US"/>
        </w:rPr>
      </w:pPr>
      <w:r>
        <w:rPr>
          <w:lang w:val="en-US"/>
        </w:rPr>
        <w:t>For unicast, scheduling of initial and retransmission TB(s) within one DCI is supported.</w:t>
      </w:r>
    </w:p>
    <w:p w14:paraId="1434AA98" w14:textId="77777777" w:rsidR="004E4400" w:rsidRPr="004E4400" w:rsidRDefault="004E4400" w:rsidP="004E4400">
      <w:pPr>
        <w:rPr>
          <w:bCs/>
          <w:noProof/>
          <w:lang w:val="en-US" w:eastAsia="en-GB"/>
        </w:rPr>
      </w:pPr>
    </w:p>
    <w:p w14:paraId="63FE83DE" w14:textId="3BA81874" w:rsidR="004E4400" w:rsidRDefault="004E4400" w:rsidP="004E4400">
      <w:pPr>
        <w:rPr>
          <w:lang w:val="en-US"/>
        </w:rPr>
      </w:pPr>
      <w:r>
        <w:rPr>
          <w:lang w:val="en-US"/>
        </w:rPr>
        <w:t>This working assumption seems reasonable as it provides a compact way to schedule initial and re-transmissions within a single DCI. In order to support this functionality, there needs to be a large amount of commonality between the initial transmission and the re-transmission. E.g. it is expected that the initial transmission and re-transmission would share the same transport block size.</w:t>
      </w:r>
    </w:p>
    <w:p w14:paraId="3ABEEF1C" w14:textId="0D9345D9" w:rsidR="004E4400" w:rsidRDefault="004E4400" w:rsidP="004E4400">
      <w:pPr>
        <w:rPr>
          <w:lang w:val="en-US"/>
        </w:rPr>
      </w:pPr>
      <w:r>
        <w:rPr>
          <w:lang w:val="en-US"/>
        </w:rPr>
        <w:t>We expect that the DCI would support an “NDI bitmap” that indicate</w:t>
      </w:r>
      <w:r w:rsidR="00EA6BD4">
        <w:rPr>
          <w:lang w:val="en-US"/>
        </w:rPr>
        <w:t>s</w:t>
      </w:r>
      <w:r>
        <w:rPr>
          <w:lang w:val="en-US"/>
        </w:rPr>
        <w:t xml:space="preserve"> the transmission / re-transmission status of each transport block in the MTBG transmission. The length of the NDI bitmap would be the maximum number of </w:t>
      </w:r>
      <w:r w:rsidR="00EA6BD4">
        <w:rPr>
          <w:lang w:val="en-US"/>
        </w:rPr>
        <w:t>transport blocks</w:t>
      </w:r>
      <w:r>
        <w:rPr>
          <w:lang w:val="en-US"/>
        </w:rPr>
        <w:t xml:space="preserve"> that could be scheduled in an MTBG transmission and each bit in the bitmap would indicate whether the corresponding transport block was an initial transmission or a re-transmission. For example, the NDI bitmap in </w:t>
      </w:r>
      <w:r w:rsidR="00276A07">
        <w:rPr>
          <w:lang w:val="en-US"/>
        </w:rPr>
        <w:t>MPDCCH M</w:t>
      </w:r>
      <w:r w:rsidR="0004550F">
        <w:rPr>
          <w:lang w:val="en-US"/>
        </w:rPr>
        <w:t>1</w:t>
      </w:r>
      <w:r w:rsidR="00276A07">
        <w:rPr>
          <w:lang w:val="en-US"/>
        </w:rPr>
        <w:t xml:space="preserve"> of </w:t>
      </w:r>
      <w:r w:rsidR="00276A07">
        <w:rPr>
          <w:highlight w:val="yellow"/>
          <w:lang w:val="en-US"/>
        </w:rPr>
        <w:fldChar w:fldCharType="begin"/>
      </w:r>
      <w:r w:rsidR="00276A07">
        <w:rPr>
          <w:lang w:val="en-US"/>
        </w:rPr>
        <w:instrText xml:space="preserve"> REF _Ref16886503 \h </w:instrText>
      </w:r>
      <w:r w:rsidR="00276A07">
        <w:rPr>
          <w:highlight w:val="yellow"/>
          <w:lang w:val="en-US"/>
        </w:rPr>
      </w:r>
      <w:r w:rsidR="00276A07">
        <w:rPr>
          <w:highlight w:val="yellow"/>
          <w:lang w:val="en-US"/>
        </w:rPr>
        <w:fldChar w:fldCharType="separate"/>
      </w:r>
      <w:r w:rsidR="00502D2F">
        <w:t xml:space="preserve">Figure </w:t>
      </w:r>
      <w:r w:rsidR="00502D2F">
        <w:rPr>
          <w:noProof/>
        </w:rPr>
        <w:t>3</w:t>
      </w:r>
      <w:r w:rsidR="00276A07">
        <w:rPr>
          <w:highlight w:val="yellow"/>
          <w:lang w:val="en-US"/>
        </w:rPr>
        <w:fldChar w:fldCharType="end"/>
      </w:r>
      <w:r>
        <w:rPr>
          <w:lang w:val="en-US"/>
        </w:rPr>
        <w:t xml:space="preserve"> indicates that </w:t>
      </w:r>
      <w:r w:rsidR="00276A07">
        <w:rPr>
          <w:lang w:val="en-US"/>
        </w:rPr>
        <w:t xml:space="preserve">for the first multi-TB transmission, </w:t>
      </w:r>
      <w:r>
        <w:rPr>
          <w:lang w:val="en-US"/>
        </w:rPr>
        <w:t>TB</w:t>
      </w:r>
      <w:r w:rsidR="00276A07">
        <w:rPr>
          <w:lang w:val="en-US"/>
        </w:rPr>
        <w:t>s</w:t>
      </w:r>
      <w:r>
        <w:rPr>
          <w:lang w:val="en-US"/>
        </w:rPr>
        <w:t xml:space="preserve"> 1,</w:t>
      </w:r>
      <w:r w:rsidR="00276A07">
        <w:rPr>
          <w:lang w:val="en-US"/>
        </w:rPr>
        <w:t>2,</w:t>
      </w:r>
      <w:r>
        <w:rPr>
          <w:lang w:val="en-US"/>
        </w:rPr>
        <w:t>3,</w:t>
      </w:r>
      <w:r w:rsidR="00276A07">
        <w:rPr>
          <w:lang w:val="en-US"/>
        </w:rPr>
        <w:t>4,5</w:t>
      </w:r>
      <w:r>
        <w:rPr>
          <w:lang w:val="en-US"/>
        </w:rPr>
        <w:t>,6,7,8 are initial transmissions</w:t>
      </w:r>
      <w:r w:rsidR="0004550F">
        <w:rPr>
          <w:lang w:val="en-US"/>
        </w:rPr>
        <w:t>: NDI bitmap = {0,0,0,0,0,0,0,0}</w:t>
      </w:r>
      <w:r>
        <w:rPr>
          <w:lang w:val="en-US"/>
        </w:rPr>
        <w:t>.</w:t>
      </w:r>
      <w:r w:rsidR="00276A07">
        <w:rPr>
          <w:lang w:val="en-US"/>
        </w:rPr>
        <w:t xml:space="preserve"> The 2</w:t>
      </w:r>
      <w:r w:rsidR="00276A07" w:rsidRPr="00276A07">
        <w:rPr>
          <w:vertAlign w:val="superscript"/>
          <w:lang w:val="en-US"/>
        </w:rPr>
        <w:t>nd</w:t>
      </w:r>
      <w:r w:rsidR="00276A07">
        <w:rPr>
          <w:lang w:val="en-US"/>
        </w:rPr>
        <w:t xml:space="preserve"> and 8</w:t>
      </w:r>
      <w:r w:rsidR="00276A07" w:rsidRPr="00276A07">
        <w:rPr>
          <w:vertAlign w:val="superscript"/>
          <w:lang w:val="en-US"/>
        </w:rPr>
        <w:t>th</w:t>
      </w:r>
      <w:r w:rsidR="00276A07">
        <w:rPr>
          <w:lang w:val="en-US"/>
        </w:rPr>
        <w:t xml:space="preserve"> transport blocks are NACK-ed, requiring a re-transmission of these </w:t>
      </w:r>
      <w:r w:rsidR="00EA6BD4">
        <w:rPr>
          <w:lang w:val="en-US"/>
        </w:rPr>
        <w:t>transport blocks</w:t>
      </w:r>
      <w:r w:rsidR="0004550F">
        <w:rPr>
          <w:lang w:val="en-US"/>
        </w:rPr>
        <w:t>. New</w:t>
      </w:r>
      <w:r w:rsidR="00276A07">
        <w:rPr>
          <w:lang w:val="en-US"/>
        </w:rPr>
        <w:t xml:space="preserve"> data appears in the DL buffers of the </w:t>
      </w:r>
      <w:proofErr w:type="spellStart"/>
      <w:r w:rsidR="00276A07">
        <w:rPr>
          <w:lang w:val="en-US"/>
        </w:rPr>
        <w:t>eNB</w:t>
      </w:r>
      <w:proofErr w:type="spellEnd"/>
      <w:r w:rsidR="0004550F">
        <w:rPr>
          <w:lang w:val="en-US"/>
        </w:rPr>
        <w:t>, meaning that the second MTBG transmission consists of re-transmissions of TBs 2 and 8 and initial transmissions of TBs 9,10,11,12,13,14. The “NDI bitmap” of the second MPDCCH, scheduling the second MTBG transmission thus indicates {1,0,1,1,1,1,1,0}.</w:t>
      </w:r>
      <w:r w:rsidR="00276A07">
        <w:rPr>
          <w:lang w:val="en-US"/>
        </w:rPr>
        <w:t xml:space="preserve"> </w:t>
      </w:r>
    </w:p>
    <w:p w14:paraId="1C47D533" w14:textId="0A87CD49" w:rsidR="004E4400" w:rsidRDefault="00EA6BD4" w:rsidP="004E4400">
      <w:pPr>
        <w:rPr>
          <w:lang w:val="en-US"/>
        </w:rPr>
      </w:pPr>
      <w:r>
        <w:rPr>
          <w:noProof/>
          <w:lang w:val="en-US"/>
        </w:rPr>
        <w:drawing>
          <wp:inline distT="0" distB="0" distL="0" distR="0" wp14:anchorId="64CF3897" wp14:editId="16DB307B">
            <wp:extent cx="6415200" cy="1904400"/>
            <wp:effectExtent l="0" t="0" r="508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15200" cy="1904400"/>
                    </a:xfrm>
                    <a:prstGeom prst="rect">
                      <a:avLst/>
                    </a:prstGeom>
                    <a:noFill/>
                  </pic:spPr>
                </pic:pic>
              </a:graphicData>
            </a:graphic>
          </wp:inline>
        </w:drawing>
      </w:r>
    </w:p>
    <w:p w14:paraId="402FB1B0" w14:textId="732C69C2" w:rsidR="00276A07" w:rsidRPr="004E4400" w:rsidRDefault="00276A07" w:rsidP="00276A07">
      <w:pPr>
        <w:pStyle w:val="Caption"/>
        <w:jc w:val="center"/>
        <w:rPr>
          <w:lang w:val="en-US"/>
        </w:rPr>
      </w:pPr>
      <w:bookmarkStart w:id="4" w:name="_Ref16886503"/>
      <w:r>
        <w:t xml:space="preserve">Figure </w:t>
      </w:r>
      <w:r w:rsidR="00CE2663">
        <w:fldChar w:fldCharType="begin"/>
      </w:r>
      <w:r w:rsidR="00CE2663">
        <w:instrText xml:space="preserve"> SEQ Figure \</w:instrText>
      </w:r>
      <w:r w:rsidR="00CE2663">
        <w:instrText xml:space="preserve">* ARABIC </w:instrText>
      </w:r>
      <w:r w:rsidR="00CE2663">
        <w:fldChar w:fldCharType="separate"/>
      </w:r>
      <w:r w:rsidR="00502D2F">
        <w:rPr>
          <w:noProof/>
        </w:rPr>
        <w:t>3</w:t>
      </w:r>
      <w:r w:rsidR="00CE2663">
        <w:rPr>
          <w:noProof/>
        </w:rPr>
        <w:fldChar w:fldCharType="end"/>
      </w:r>
      <w:bookmarkEnd w:id="4"/>
      <w:r>
        <w:t xml:space="preserve"> – Re-transmissions of transport blocks in an MTBG transmission via a multi-bit NDI field</w:t>
      </w:r>
    </w:p>
    <w:p w14:paraId="1B47DD99" w14:textId="5975CE7A" w:rsidR="00276A07" w:rsidRDefault="00276A07" w:rsidP="00276A07">
      <w:pPr>
        <w:rPr>
          <w:lang w:val="en-US"/>
        </w:rPr>
      </w:pPr>
      <w:r>
        <w:rPr>
          <w:lang w:val="en-US"/>
        </w:rPr>
        <w:t xml:space="preserve">Re-transmission via the multi-bit NDI field is efficient when there is sufficient data in buffers to fully occupy a follow-on </w:t>
      </w:r>
      <w:r w:rsidR="00EA6BD4">
        <w:rPr>
          <w:lang w:val="en-US"/>
        </w:rPr>
        <w:t>MTBG</w:t>
      </w:r>
      <w:r>
        <w:rPr>
          <w:lang w:val="en-US"/>
        </w:rPr>
        <w:t xml:space="preserve"> transmission (the second MTBG transmission in </w:t>
      </w:r>
      <w:r>
        <w:rPr>
          <w:highlight w:val="yellow"/>
          <w:lang w:val="en-US"/>
        </w:rPr>
        <w:fldChar w:fldCharType="begin"/>
      </w:r>
      <w:r>
        <w:rPr>
          <w:lang w:val="en-US"/>
        </w:rPr>
        <w:instrText xml:space="preserve"> REF _Ref16886503 \h </w:instrText>
      </w:r>
      <w:r>
        <w:rPr>
          <w:highlight w:val="yellow"/>
          <w:lang w:val="en-US"/>
        </w:rPr>
      </w:r>
      <w:r>
        <w:rPr>
          <w:highlight w:val="yellow"/>
          <w:lang w:val="en-US"/>
        </w:rPr>
        <w:fldChar w:fldCharType="separate"/>
      </w:r>
      <w:r w:rsidR="00502D2F">
        <w:t xml:space="preserve">Figure </w:t>
      </w:r>
      <w:r w:rsidR="00502D2F">
        <w:rPr>
          <w:noProof/>
        </w:rPr>
        <w:t>3</w:t>
      </w:r>
      <w:r>
        <w:rPr>
          <w:highlight w:val="yellow"/>
          <w:lang w:val="en-US"/>
        </w:rPr>
        <w:fldChar w:fldCharType="end"/>
      </w:r>
      <w:proofErr w:type="gramStart"/>
      <w:r>
        <w:rPr>
          <w:lang w:val="en-US"/>
        </w:rPr>
        <w:t>), but</w:t>
      </w:r>
      <w:proofErr w:type="gramEnd"/>
      <w:r>
        <w:rPr>
          <w:lang w:val="en-US"/>
        </w:rPr>
        <w:t xml:space="preserve"> is not efficient when there is insufficient data. For example, consider the case where there are initially 8 </w:t>
      </w:r>
      <w:r w:rsidR="00EA6BD4">
        <w:rPr>
          <w:lang w:val="en-US"/>
        </w:rPr>
        <w:t>transport block</w:t>
      </w:r>
      <w:r>
        <w:rPr>
          <w:lang w:val="en-US"/>
        </w:rPr>
        <w:t xml:space="preserve">s to transmit in an MTBG transmission, 2 of those TBs are </w:t>
      </w:r>
      <w:proofErr w:type="spellStart"/>
      <w:r>
        <w:rPr>
          <w:lang w:val="en-US"/>
        </w:rPr>
        <w:t>NACKed</w:t>
      </w:r>
      <w:proofErr w:type="spellEnd"/>
      <w:r>
        <w:rPr>
          <w:lang w:val="en-US"/>
        </w:rPr>
        <w:t xml:space="preserve"> and during a re-transmission 3 new TBs are </w:t>
      </w:r>
      <w:r w:rsidR="00EA6BD4">
        <w:rPr>
          <w:lang w:val="en-US"/>
        </w:rPr>
        <w:t xml:space="preserve">also </w:t>
      </w:r>
      <w:r>
        <w:rPr>
          <w:lang w:val="en-US"/>
        </w:rPr>
        <w:t xml:space="preserve">scheduled to be transmitted by the </w:t>
      </w:r>
      <w:proofErr w:type="spellStart"/>
      <w:r>
        <w:rPr>
          <w:lang w:val="en-US"/>
        </w:rPr>
        <w:t>eNB</w:t>
      </w:r>
      <w:proofErr w:type="spellEnd"/>
      <w:r w:rsidR="00EA6BD4">
        <w:rPr>
          <w:lang w:val="en-US"/>
        </w:rPr>
        <w:t>:</w:t>
      </w:r>
      <w:r w:rsidR="0004550F">
        <w:rPr>
          <w:lang w:val="en-US"/>
        </w:rPr>
        <w:t xml:space="preserve"> </w:t>
      </w:r>
      <w:r w:rsidR="008440E6">
        <w:rPr>
          <w:lang w:val="en-US"/>
        </w:rPr>
        <w:fldChar w:fldCharType="begin"/>
      </w:r>
      <w:r w:rsidR="008440E6">
        <w:rPr>
          <w:lang w:val="en-US"/>
        </w:rPr>
        <w:instrText xml:space="preserve"> REF _Ref16888047 \h </w:instrText>
      </w:r>
      <w:r w:rsidR="008440E6">
        <w:rPr>
          <w:lang w:val="en-US"/>
        </w:rPr>
      </w:r>
      <w:r w:rsidR="008440E6">
        <w:rPr>
          <w:lang w:val="en-US"/>
        </w:rPr>
        <w:fldChar w:fldCharType="separate"/>
      </w:r>
      <w:r w:rsidR="00502D2F">
        <w:t xml:space="preserve">Figure </w:t>
      </w:r>
      <w:r w:rsidR="00502D2F">
        <w:rPr>
          <w:noProof/>
        </w:rPr>
        <w:t>4</w:t>
      </w:r>
      <w:r w:rsidR="008440E6">
        <w:rPr>
          <w:lang w:val="en-US"/>
        </w:rPr>
        <w:fldChar w:fldCharType="end"/>
      </w:r>
      <w:r>
        <w:rPr>
          <w:lang w:val="en-US"/>
        </w:rPr>
        <w:t xml:space="preserve">. Due to the constraints of the multi-bit “NDI bitmap”, the </w:t>
      </w:r>
      <w:r w:rsidR="0004550F">
        <w:rPr>
          <w:lang w:val="en-US"/>
        </w:rPr>
        <w:t xml:space="preserve">second MTBG transmission needs to consist of 8 </w:t>
      </w:r>
      <w:r w:rsidR="00EA6BD4">
        <w:rPr>
          <w:lang w:val="en-US"/>
        </w:rPr>
        <w:t>transport block</w:t>
      </w:r>
      <w:r w:rsidR="0004550F">
        <w:rPr>
          <w:lang w:val="en-US"/>
        </w:rPr>
        <w:t xml:space="preserve">s, of which only 5 are active (re-transmission of </w:t>
      </w:r>
      <w:r w:rsidR="00EA6BD4">
        <w:rPr>
          <w:lang w:val="en-US"/>
        </w:rPr>
        <w:t>transport block</w:t>
      </w:r>
      <w:r w:rsidR="0004550F">
        <w:rPr>
          <w:lang w:val="en-US"/>
        </w:rPr>
        <w:t xml:space="preserve">s 2 and 8 and initial transmissions of </w:t>
      </w:r>
      <w:r w:rsidR="00EA6BD4">
        <w:rPr>
          <w:lang w:val="en-US"/>
        </w:rPr>
        <w:t>transport block</w:t>
      </w:r>
      <w:r w:rsidR="0004550F">
        <w:rPr>
          <w:lang w:val="en-US"/>
        </w:rPr>
        <w:t xml:space="preserve">s 9,10,11): the other 3 </w:t>
      </w:r>
      <w:r w:rsidR="00EA6BD4">
        <w:rPr>
          <w:lang w:val="en-US"/>
        </w:rPr>
        <w:t>transport block</w:t>
      </w:r>
      <w:r w:rsidR="0004550F">
        <w:rPr>
          <w:lang w:val="en-US"/>
        </w:rPr>
        <w:t xml:space="preserve">s that are transmitted contain dummy data (no higher layer </w:t>
      </w:r>
      <w:r w:rsidR="00EA6BD4">
        <w:rPr>
          <w:lang w:val="en-US"/>
        </w:rPr>
        <w:t>MAC PDUs</w:t>
      </w:r>
      <w:r w:rsidR="0004550F">
        <w:rPr>
          <w:lang w:val="en-US"/>
        </w:rPr>
        <w:t>) due to the constraints of the NDI bitmap signaling.</w:t>
      </w:r>
      <w:r w:rsidR="008440E6">
        <w:rPr>
          <w:lang w:val="en-US"/>
        </w:rPr>
        <w:t xml:space="preserve"> The UE </w:t>
      </w:r>
      <w:proofErr w:type="gramStart"/>
      <w:r w:rsidR="008440E6">
        <w:rPr>
          <w:lang w:val="en-US"/>
        </w:rPr>
        <w:t>has to</w:t>
      </w:r>
      <w:proofErr w:type="gramEnd"/>
      <w:r w:rsidR="008440E6">
        <w:rPr>
          <w:lang w:val="en-US"/>
        </w:rPr>
        <w:t xml:space="preserve"> decode these transport blocks containing dummy data, since the “dummy” status is only known at higher layers following physical layer decoding. Decoding transport blocks containing dummy data increases UE power consumption and should be avoided.</w:t>
      </w:r>
    </w:p>
    <w:p w14:paraId="676DEFD6" w14:textId="0FAE1B6A" w:rsidR="00C85EDD" w:rsidRDefault="00EA6BD4" w:rsidP="0041482F">
      <w:pPr>
        <w:rPr>
          <w:lang w:val="en-US"/>
        </w:rPr>
      </w:pPr>
      <w:r>
        <w:rPr>
          <w:noProof/>
          <w:lang w:val="en-US"/>
        </w:rPr>
        <w:lastRenderedPageBreak/>
        <w:drawing>
          <wp:inline distT="0" distB="0" distL="0" distR="0" wp14:anchorId="52CD8D8C" wp14:editId="255E6715">
            <wp:extent cx="6415200" cy="1904400"/>
            <wp:effectExtent l="0" t="0" r="508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15200" cy="1904400"/>
                    </a:xfrm>
                    <a:prstGeom prst="rect">
                      <a:avLst/>
                    </a:prstGeom>
                    <a:noFill/>
                  </pic:spPr>
                </pic:pic>
              </a:graphicData>
            </a:graphic>
          </wp:inline>
        </w:drawing>
      </w:r>
    </w:p>
    <w:p w14:paraId="3BDC0535" w14:textId="70A45468" w:rsidR="008440E6" w:rsidRDefault="008440E6" w:rsidP="008440E6">
      <w:pPr>
        <w:pStyle w:val="Caption"/>
        <w:jc w:val="center"/>
      </w:pPr>
      <w:bookmarkStart w:id="5" w:name="_Ref16888047"/>
      <w:r>
        <w:t xml:space="preserve">Figure </w:t>
      </w:r>
      <w:r w:rsidR="00CE2663">
        <w:fldChar w:fldCharType="begin"/>
      </w:r>
      <w:r w:rsidR="00CE2663">
        <w:instrText xml:space="preserve"> SEQ Figure \* ARABIC </w:instrText>
      </w:r>
      <w:r w:rsidR="00CE2663">
        <w:fldChar w:fldCharType="separate"/>
      </w:r>
      <w:r w:rsidR="00502D2F">
        <w:rPr>
          <w:noProof/>
        </w:rPr>
        <w:t>4</w:t>
      </w:r>
      <w:r w:rsidR="00CE2663">
        <w:rPr>
          <w:noProof/>
        </w:rPr>
        <w:fldChar w:fldCharType="end"/>
      </w:r>
      <w:bookmarkEnd w:id="5"/>
      <w:r>
        <w:t xml:space="preserve"> - Re-transmission of transport blocks in an MTBG transmission when there is insufficient data to fill the second MTBG transmission</w:t>
      </w:r>
    </w:p>
    <w:p w14:paraId="7B4ACCC7" w14:textId="6C24E722" w:rsidR="008440E6" w:rsidRDefault="008440E6" w:rsidP="008440E6">
      <w:r w:rsidRPr="008440E6">
        <w:rPr>
          <w:b/>
        </w:rPr>
        <w:t xml:space="preserve">Observation </w:t>
      </w:r>
      <w:r w:rsidR="00022326">
        <w:rPr>
          <w:b/>
        </w:rPr>
        <w:t>1</w:t>
      </w:r>
      <w:r w:rsidRPr="008440E6">
        <w:rPr>
          <w:b/>
        </w:rPr>
        <w:t>: Use of an NDI bitmap can lead to the need to transmit dummy data in transport blocks, increasing UE power consumption</w:t>
      </w:r>
      <w:r>
        <w:t>.</w:t>
      </w:r>
    </w:p>
    <w:p w14:paraId="071B9CE9" w14:textId="2FF0FA3D" w:rsidR="005F062A" w:rsidRDefault="008440E6" w:rsidP="008440E6">
      <w:r>
        <w:t xml:space="preserve">The </w:t>
      </w:r>
      <w:r w:rsidR="00DF5BCD">
        <w:t xml:space="preserve">transmission of dummy data can be avoided by the UE interpreting the NDI bitmap field in conjunction with the HARQ ACK / NACK feedback that it had provided. This scheme works on the basis that if the UE had sent “ACK” in response to a transport block, the </w:t>
      </w:r>
      <w:proofErr w:type="spellStart"/>
      <w:r w:rsidR="00DF5BCD">
        <w:t>eNB</w:t>
      </w:r>
      <w:proofErr w:type="spellEnd"/>
      <w:r w:rsidR="00DF5BCD">
        <w:t xml:space="preserve"> would not re-transmit that transport block to a UE. Hence if the </w:t>
      </w:r>
      <w:proofErr w:type="spellStart"/>
      <w:r w:rsidR="00DF5BCD">
        <w:t>eNB</w:t>
      </w:r>
      <w:proofErr w:type="spellEnd"/>
      <w:r w:rsidR="00DF5BCD">
        <w:t xml:space="preserve"> does not toggle an NDI bit after the UE has reported ACK for a transport block, it means that there is no data to send in the corresponding HARQ process. Hence the status of transmission / re-transmission or no-transmission of a transport block within a HARQ process can be derived based on the HARQ ACK/NACK signalling from the UE and the NDI bitmap, as described in </w:t>
      </w:r>
      <w:r w:rsidR="005F062A">
        <w:fldChar w:fldCharType="begin"/>
      </w:r>
      <w:r w:rsidR="005F062A">
        <w:instrText xml:space="preserve"> REF _Ref16889014 \h </w:instrText>
      </w:r>
      <w:r w:rsidR="005F062A">
        <w:fldChar w:fldCharType="separate"/>
      </w:r>
      <w:r w:rsidR="00502D2F">
        <w:t xml:space="preserve">Table </w:t>
      </w:r>
      <w:r w:rsidR="00502D2F">
        <w:rPr>
          <w:noProof/>
        </w:rPr>
        <w:t>1</w:t>
      </w:r>
      <w:r w:rsidR="005F062A">
        <w:fldChar w:fldCharType="end"/>
      </w:r>
      <w:r w:rsidR="00DF5BCD">
        <w:t>.</w:t>
      </w:r>
      <w:r w:rsidR="005F062A">
        <w:t xml:space="preserve"> </w:t>
      </w:r>
    </w:p>
    <w:p w14:paraId="49F8B16D" w14:textId="2D048B19" w:rsidR="00DF5BCD" w:rsidRDefault="00DF5BCD" w:rsidP="005F062A">
      <w:pPr>
        <w:pStyle w:val="Caption"/>
        <w:jc w:val="center"/>
      </w:pPr>
      <w:bookmarkStart w:id="6" w:name="_Ref16889014"/>
      <w:r>
        <w:t xml:space="preserve">Table </w:t>
      </w:r>
      <w:r w:rsidR="00CE2663">
        <w:fldChar w:fldCharType="begin"/>
      </w:r>
      <w:r w:rsidR="00CE2663">
        <w:instrText xml:space="preserve"> SEQ Table \* ARABIC </w:instrText>
      </w:r>
      <w:r w:rsidR="00CE2663">
        <w:fldChar w:fldCharType="separate"/>
      </w:r>
      <w:r w:rsidR="00502D2F">
        <w:rPr>
          <w:noProof/>
        </w:rPr>
        <w:t>1</w:t>
      </w:r>
      <w:r w:rsidR="00CE2663">
        <w:rPr>
          <w:noProof/>
        </w:rPr>
        <w:fldChar w:fldCharType="end"/>
      </w:r>
      <w:bookmarkEnd w:id="6"/>
      <w:r>
        <w:t xml:space="preserve"> – Determination of </w:t>
      </w:r>
      <w:r w:rsidR="008D6486">
        <w:t>transport block statu</w:t>
      </w:r>
      <w:r w:rsidR="005F062A">
        <w:t>s based on NDI bit and HARQ ACK/NACK status</w:t>
      </w:r>
    </w:p>
    <w:tbl>
      <w:tblPr>
        <w:tblStyle w:val="TableGrid"/>
        <w:tblW w:w="0" w:type="auto"/>
        <w:tblLook w:val="04A0" w:firstRow="1" w:lastRow="0" w:firstColumn="1" w:lastColumn="0" w:noHBand="0" w:noVBand="1"/>
      </w:tblPr>
      <w:tblGrid>
        <w:gridCol w:w="3285"/>
        <w:gridCol w:w="3285"/>
        <w:gridCol w:w="3285"/>
      </w:tblGrid>
      <w:tr w:rsidR="00DF5BCD" w:rsidRPr="00DF5BCD" w14:paraId="78BBD2DB" w14:textId="77777777" w:rsidTr="00DF5BCD">
        <w:tc>
          <w:tcPr>
            <w:tcW w:w="3285" w:type="dxa"/>
            <w:shd w:val="clear" w:color="auto" w:fill="D9D9D9" w:themeFill="background1" w:themeFillShade="D9"/>
          </w:tcPr>
          <w:p w14:paraId="04D2F4E3" w14:textId="246F4535" w:rsidR="00DF5BCD" w:rsidRPr="00DF5BCD" w:rsidRDefault="00DF5BCD" w:rsidP="00DF5BCD">
            <w:pPr>
              <w:rPr>
                <w:rFonts w:ascii="Arial" w:hAnsi="Arial" w:cs="Arial"/>
                <w:b/>
                <w:sz w:val="20"/>
              </w:rPr>
            </w:pPr>
            <w:r w:rsidRPr="00DF5BCD">
              <w:rPr>
                <w:rFonts w:ascii="Arial" w:hAnsi="Arial" w:cs="Arial"/>
                <w:b/>
                <w:sz w:val="20"/>
              </w:rPr>
              <w:t>NDI bit</w:t>
            </w:r>
          </w:p>
        </w:tc>
        <w:tc>
          <w:tcPr>
            <w:tcW w:w="3285" w:type="dxa"/>
            <w:shd w:val="clear" w:color="auto" w:fill="D9D9D9" w:themeFill="background1" w:themeFillShade="D9"/>
          </w:tcPr>
          <w:p w14:paraId="2C0951D4" w14:textId="710B4A04" w:rsidR="00DF5BCD" w:rsidRPr="00DF5BCD" w:rsidRDefault="00DF5BCD" w:rsidP="00DF5BCD">
            <w:pPr>
              <w:rPr>
                <w:rFonts w:ascii="Arial" w:hAnsi="Arial" w:cs="Arial"/>
                <w:b/>
                <w:sz w:val="20"/>
              </w:rPr>
            </w:pPr>
            <w:r w:rsidRPr="00DF5BCD">
              <w:rPr>
                <w:rFonts w:ascii="Arial" w:hAnsi="Arial" w:cs="Arial"/>
                <w:b/>
                <w:sz w:val="20"/>
              </w:rPr>
              <w:t>HARQ ACK/NACK status for previous transmission in HARQ process</w:t>
            </w:r>
          </w:p>
        </w:tc>
        <w:tc>
          <w:tcPr>
            <w:tcW w:w="3285" w:type="dxa"/>
            <w:shd w:val="clear" w:color="auto" w:fill="D9D9D9" w:themeFill="background1" w:themeFillShade="D9"/>
          </w:tcPr>
          <w:p w14:paraId="7C94EFAE" w14:textId="3F8A1605" w:rsidR="00DF5BCD" w:rsidRPr="00DF5BCD" w:rsidRDefault="00DF5BCD" w:rsidP="00DF5BCD">
            <w:pPr>
              <w:rPr>
                <w:rFonts w:ascii="Arial" w:hAnsi="Arial" w:cs="Arial"/>
                <w:b/>
                <w:sz w:val="20"/>
              </w:rPr>
            </w:pPr>
            <w:r w:rsidRPr="00DF5BCD">
              <w:rPr>
                <w:rFonts w:ascii="Arial" w:hAnsi="Arial" w:cs="Arial"/>
                <w:b/>
                <w:sz w:val="20"/>
              </w:rPr>
              <w:t>meaning</w:t>
            </w:r>
          </w:p>
        </w:tc>
      </w:tr>
      <w:tr w:rsidR="00DF5BCD" w:rsidRPr="00DF5BCD" w14:paraId="70938839" w14:textId="77777777" w:rsidTr="00DF5BCD">
        <w:tc>
          <w:tcPr>
            <w:tcW w:w="3285" w:type="dxa"/>
          </w:tcPr>
          <w:p w14:paraId="58950415" w14:textId="0DDB2B45" w:rsidR="00DF5BCD" w:rsidRPr="00DF5BCD" w:rsidRDefault="00DF5BCD" w:rsidP="008440E6">
            <w:pPr>
              <w:rPr>
                <w:rFonts w:ascii="Arial" w:hAnsi="Arial" w:cs="Arial"/>
                <w:sz w:val="20"/>
              </w:rPr>
            </w:pPr>
            <w:r w:rsidRPr="00DF5BCD">
              <w:rPr>
                <w:rFonts w:ascii="Arial" w:hAnsi="Arial" w:cs="Arial"/>
                <w:sz w:val="20"/>
              </w:rPr>
              <w:t>Toggled</w:t>
            </w:r>
          </w:p>
        </w:tc>
        <w:tc>
          <w:tcPr>
            <w:tcW w:w="3285" w:type="dxa"/>
          </w:tcPr>
          <w:p w14:paraId="67CA8274" w14:textId="0B1BA101" w:rsidR="00DF5BCD" w:rsidRPr="00DF5BCD" w:rsidRDefault="00DF5BCD" w:rsidP="008440E6">
            <w:pPr>
              <w:rPr>
                <w:rFonts w:ascii="Arial" w:hAnsi="Arial" w:cs="Arial"/>
                <w:sz w:val="20"/>
              </w:rPr>
            </w:pPr>
            <w:r w:rsidRPr="00DF5BCD">
              <w:rPr>
                <w:rFonts w:ascii="Arial" w:hAnsi="Arial" w:cs="Arial"/>
                <w:sz w:val="20"/>
              </w:rPr>
              <w:t>ACK</w:t>
            </w:r>
          </w:p>
        </w:tc>
        <w:tc>
          <w:tcPr>
            <w:tcW w:w="3285" w:type="dxa"/>
          </w:tcPr>
          <w:p w14:paraId="5EFB7A66" w14:textId="2EB43F5A" w:rsidR="00DF5BCD" w:rsidRPr="00DF5BCD" w:rsidRDefault="00DF5BCD" w:rsidP="008440E6">
            <w:pPr>
              <w:rPr>
                <w:rFonts w:ascii="Arial" w:hAnsi="Arial" w:cs="Arial"/>
                <w:sz w:val="20"/>
              </w:rPr>
            </w:pPr>
            <w:r w:rsidRPr="00DF5BCD">
              <w:rPr>
                <w:rFonts w:ascii="Arial" w:hAnsi="Arial" w:cs="Arial"/>
                <w:sz w:val="20"/>
              </w:rPr>
              <w:t>Initial transmission</w:t>
            </w:r>
          </w:p>
        </w:tc>
      </w:tr>
      <w:tr w:rsidR="00DF5BCD" w:rsidRPr="00DF5BCD" w14:paraId="11F7EDDC" w14:textId="77777777" w:rsidTr="00DF5BCD">
        <w:tc>
          <w:tcPr>
            <w:tcW w:w="3285" w:type="dxa"/>
          </w:tcPr>
          <w:p w14:paraId="66DDE57F" w14:textId="1093C042" w:rsidR="00DF5BCD" w:rsidRPr="00DF5BCD" w:rsidRDefault="00DF5BCD" w:rsidP="008440E6">
            <w:pPr>
              <w:rPr>
                <w:rFonts w:ascii="Arial" w:hAnsi="Arial" w:cs="Arial"/>
                <w:sz w:val="20"/>
              </w:rPr>
            </w:pPr>
            <w:r w:rsidRPr="00DF5BCD">
              <w:rPr>
                <w:rFonts w:ascii="Arial" w:hAnsi="Arial" w:cs="Arial"/>
                <w:sz w:val="20"/>
              </w:rPr>
              <w:t>Toggled</w:t>
            </w:r>
          </w:p>
        </w:tc>
        <w:tc>
          <w:tcPr>
            <w:tcW w:w="3285" w:type="dxa"/>
          </w:tcPr>
          <w:p w14:paraId="69BA1D77" w14:textId="0F1C8CDF" w:rsidR="00DF5BCD" w:rsidRPr="00DF5BCD" w:rsidRDefault="00DF5BCD" w:rsidP="008440E6">
            <w:pPr>
              <w:rPr>
                <w:rFonts w:ascii="Arial" w:hAnsi="Arial" w:cs="Arial"/>
                <w:sz w:val="20"/>
              </w:rPr>
            </w:pPr>
            <w:r w:rsidRPr="00DF5BCD">
              <w:rPr>
                <w:rFonts w:ascii="Arial" w:hAnsi="Arial" w:cs="Arial"/>
                <w:sz w:val="20"/>
              </w:rPr>
              <w:t>NACK</w:t>
            </w:r>
          </w:p>
        </w:tc>
        <w:tc>
          <w:tcPr>
            <w:tcW w:w="3285" w:type="dxa"/>
          </w:tcPr>
          <w:p w14:paraId="24094063" w14:textId="1A0C2B20" w:rsidR="00DF5BCD" w:rsidRPr="00DF5BCD" w:rsidRDefault="00DF5BCD" w:rsidP="008440E6">
            <w:pPr>
              <w:rPr>
                <w:rFonts w:ascii="Arial" w:hAnsi="Arial" w:cs="Arial"/>
                <w:sz w:val="20"/>
              </w:rPr>
            </w:pPr>
            <w:r w:rsidRPr="00DF5BCD">
              <w:rPr>
                <w:rFonts w:ascii="Arial" w:hAnsi="Arial" w:cs="Arial"/>
                <w:sz w:val="20"/>
              </w:rPr>
              <w:t>Initial transmission</w:t>
            </w:r>
          </w:p>
        </w:tc>
      </w:tr>
      <w:tr w:rsidR="00DF5BCD" w:rsidRPr="00DF5BCD" w14:paraId="11A7F828" w14:textId="77777777" w:rsidTr="00DF5BCD">
        <w:tc>
          <w:tcPr>
            <w:tcW w:w="3285" w:type="dxa"/>
          </w:tcPr>
          <w:p w14:paraId="6F6CC6DE" w14:textId="26100572" w:rsidR="00DF5BCD" w:rsidRPr="00DF5BCD" w:rsidRDefault="00DF5BCD" w:rsidP="008440E6">
            <w:pPr>
              <w:rPr>
                <w:rFonts w:ascii="Arial" w:hAnsi="Arial" w:cs="Arial"/>
                <w:sz w:val="20"/>
              </w:rPr>
            </w:pPr>
            <w:r w:rsidRPr="00DF5BCD">
              <w:rPr>
                <w:rFonts w:ascii="Arial" w:hAnsi="Arial" w:cs="Arial"/>
                <w:sz w:val="20"/>
              </w:rPr>
              <w:t>Stable (not toggled)</w:t>
            </w:r>
          </w:p>
        </w:tc>
        <w:tc>
          <w:tcPr>
            <w:tcW w:w="3285" w:type="dxa"/>
          </w:tcPr>
          <w:p w14:paraId="3B162A76" w14:textId="0379FF48" w:rsidR="00DF5BCD" w:rsidRPr="00DF5BCD" w:rsidRDefault="00DF5BCD" w:rsidP="008440E6">
            <w:pPr>
              <w:rPr>
                <w:rFonts w:ascii="Arial" w:hAnsi="Arial" w:cs="Arial"/>
                <w:sz w:val="20"/>
              </w:rPr>
            </w:pPr>
            <w:r w:rsidRPr="00DF5BCD">
              <w:rPr>
                <w:rFonts w:ascii="Arial" w:hAnsi="Arial" w:cs="Arial"/>
                <w:sz w:val="20"/>
              </w:rPr>
              <w:t>ACK</w:t>
            </w:r>
          </w:p>
        </w:tc>
        <w:tc>
          <w:tcPr>
            <w:tcW w:w="3285" w:type="dxa"/>
          </w:tcPr>
          <w:p w14:paraId="5C67B56D" w14:textId="01BFBE3B" w:rsidR="00DF5BCD" w:rsidRPr="00DF5BCD" w:rsidRDefault="00DF5BCD" w:rsidP="008440E6">
            <w:pPr>
              <w:rPr>
                <w:rFonts w:ascii="Arial" w:hAnsi="Arial" w:cs="Arial"/>
                <w:sz w:val="20"/>
              </w:rPr>
            </w:pPr>
            <w:r w:rsidRPr="00DF5BCD">
              <w:rPr>
                <w:rFonts w:ascii="Arial" w:hAnsi="Arial" w:cs="Arial"/>
                <w:sz w:val="20"/>
              </w:rPr>
              <w:t>No transmission</w:t>
            </w:r>
          </w:p>
        </w:tc>
      </w:tr>
      <w:tr w:rsidR="00DF5BCD" w:rsidRPr="00DF5BCD" w14:paraId="0CE35125" w14:textId="77777777" w:rsidTr="00DF5BCD">
        <w:tc>
          <w:tcPr>
            <w:tcW w:w="3285" w:type="dxa"/>
          </w:tcPr>
          <w:p w14:paraId="73E7DD09" w14:textId="2DAD8572" w:rsidR="00DF5BCD" w:rsidRPr="00DF5BCD" w:rsidRDefault="00DF5BCD" w:rsidP="008440E6">
            <w:pPr>
              <w:rPr>
                <w:rFonts w:ascii="Arial" w:hAnsi="Arial" w:cs="Arial"/>
                <w:sz w:val="20"/>
              </w:rPr>
            </w:pPr>
            <w:r w:rsidRPr="00DF5BCD">
              <w:rPr>
                <w:rFonts w:ascii="Arial" w:hAnsi="Arial" w:cs="Arial"/>
                <w:sz w:val="20"/>
              </w:rPr>
              <w:t>Stable (not toggled)</w:t>
            </w:r>
          </w:p>
        </w:tc>
        <w:tc>
          <w:tcPr>
            <w:tcW w:w="3285" w:type="dxa"/>
          </w:tcPr>
          <w:p w14:paraId="21179F8D" w14:textId="545DA71E" w:rsidR="00DF5BCD" w:rsidRPr="00DF5BCD" w:rsidRDefault="00DF5BCD" w:rsidP="008440E6">
            <w:pPr>
              <w:rPr>
                <w:rFonts w:ascii="Arial" w:hAnsi="Arial" w:cs="Arial"/>
                <w:sz w:val="20"/>
              </w:rPr>
            </w:pPr>
            <w:r w:rsidRPr="00DF5BCD">
              <w:rPr>
                <w:rFonts w:ascii="Arial" w:hAnsi="Arial" w:cs="Arial"/>
                <w:sz w:val="20"/>
              </w:rPr>
              <w:t>NACK</w:t>
            </w:r>
          </w:p>
        </w:tc>
        <w:tc>
          <w:tcPr>
            <w:tcW w:w="3285" w:type="dxa"/>
          </w:tcPr>
          <w:p w14:paraId="2250B2AD" w14:textId="61215FC1" w:rsidR="00DF5BCD" w:rsidRPr="00DF5BCD" w:rsidRDefault="00DF5BCD" w:rsidP="008440E6">
            <w:pPr>
              <w:rPr>
                <w:rFonts w:ascii="Arial" w:hAnsi="Arial" w:cs="Arial"/>
                <w:sz w:val="20"/>
              </w:rPr>
            </w:pPr>
            <w:r w:rsidRPr="00DF5BCD">
              <w:rPr>
                <w:rFonts w:ascii="Arial" w:hAnsi="Arial" w:cs="Arial"/>
                <w:sz w:val="20"/>
              </w:rPr>
              <w:t>Re-transmission</w:t>
            </w:r>
          </w:p>
        </w:tc>
      </w:tr>
    </w:tbl>
    <w:p w14:paraId="7C2EBA9E" w14:textId="683272DA" w:rsidR="008440E6" w:rsidRDefault="00DF5BCD" w:rsidP="008440E6">
      <w:r>
        <w:t xml:space="preserve"> </w:t>
      </w:r>
    </w:p>
    <w:p w14:paraId="7F8B266B" w14:textId="74A2C8A2" w:rsidR="005F062A" w:rsidRDefault="005F062A" w:rsidP="005F062A">
      <w:r>
        <w:fldChar w:fldCharType="begin"/>
      </w:r>
      <w:r>
        <w:instrText xml:space="preserve"> REF _Ref16889402 \h </w:instrText>
      </w:r>
      <w:r>
        <w:fldChar w:fldCharType="separate"/>
      </w:r>
      <w:r w:rsidR="00502D2F">
        <w:t xml:space="preserve">Figure </w:t>
      </w:r>
      <w:r w:rsidR="00502D2F">
        <w:rPr>
          <w:noProof/>
        </w:rPr>
        <w:t>5</w:t>
      </w:r>
      <w:r>
        <w:fldChar w:fldCharType="end"/>
      </w:r>
      <w:r>
        <w:t xml:space="preserve"> illustrates how the UE can determine that “no data” is transmitted in some transport blocks of an MTBG transmission. The figure shows that transport blocks 5,6,7 are received correctly by the UE (and the UE will hence respond with ACKs for these transport blocks</w:t>
      </w:r>
      <w:r w:rsidR="00022326">
        <w:t>: a HARQ A/N feedback bitmap of {A,N,A,</w:t>
      </w:r>
      <w:r w:rsidR="00445D71">
        <w:t>A</w:t>
      </w:r>
      <w:r w:rsidR="00022326">
        <w:t>,</w:t>
      </w:r>
      <w:r w:rsidR="00022326" w:rsidRPr="00022326">
        <w:rPr>
          <w:color w:val="FF0000"/>
        </w:rPr>
        <w:t>A</w:t>
      </w:r>
      <w:r w:rsidR="00022326">
        <w:t>,</w:t>
      </w:r>
      <w:r w:rsidR="00022326" w:rsidRPr="00022326">
        <w:rPr>
          <w:color w:val="FF0000"/>
        </w:rPr>
        <w:t>A</w:t>
      </w:r>
      <w:r w:rsidR="00022326">
        <w:t>,</w:t>
      </w:r>
      <w:r w:rsidR="00022326" w:rsidRPr="00022326">
        <w:rPr>
          <w:color w:val="FF0000"/>
        </w:rPr>
        <w:t>A</w:t>
      </w:r>
      <w:r w:rsidR="00022326">
        <w:t>,</w:t>
      </w:r>
      <w:r w:rsidR="00445D71">
        <w:t>N</w:t>
      </w:r>
      <w:bookmarkStart w:id="7" w:name="_GoBack"/>
      <w:bookmarkEnd w:id="7"/>
      <w:r w:rsidR="00022326">
        <w:t>} would be transmitted by the UE on PUCCH</w:t>
      </w:r>
      <w:r>
        <w:t>). An MPDCCH, M2, signals a re-transmission with an NDI bitmap of {1,0,1,1,</w:t>
      </w:r>
      <w:r w:rsidRPr="005F062A">
        <w:rPr>
          <w:color w:val="FF0000"/>
        </w:rPr>
        <w:t>0</w:t>
      </w:r>
      <w:r>
        <w:t>,</w:t>
      </w:r>
      <w:r w:rsidRPr="005F062A">
        <w:rPr>
          <w:color w:val="FF0000"/>
        </w:rPr>
        <w:t>0</w:t>
      </w:r>
      <w:r>
        <w:t>,</w:t>
      </w:r>
      <w:r w:rsidRPr="005F062A">
        <w:rPr>
          <w:color w:val="FF0000"/>
        </w:rPr>
        <w:t>0</w:t>
      </w:r>
      <w:r>
        <w:t>,0}</w:t>
      </w:r>
      <w:r w:rsidR="00022326">
        <w:t>. Since there were HARQ processes that were ACK-ed and the NDI bits were not toggled (see red text in the previous bit strings), the UE understands that no data will be transmitted in those HARQ processes (and the UE can save power by not decoding the associated transport blocks).</w:t>
      </w:r>
    </w:p>
    <w:p w14:paraId="726D1312" w14:textId="77777777" w:rsidR="005F062A" w:rsidRDefault="005F062A" w:rsidP="008440E6"/>
    <w:p w14:paraId="7B9E02FE" w14:textId="07D64A6A" w:rsidR="005F062A" w:rsidRDefault="00EA6BD4" w:rsidP="008440E6">
      <w:r>
        <w:rPr>
          <w:noProof/>
        </w:rPr>
        <w:lastRenderedPageBreak/>
        <w:drawing>
          <wp:inline distT="0" distB="0" distL="0" distR="0" wp14:anchorId="0CD40723" wp14:editId="42F1816D">
            <wp:extent cx="6415200" cy="1904400"/>
            <wp:effectExtent l="0" t="0" r="508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15200" cy="1904400"/>
                    </a:xfrm>
                    <a:prstGeom prst="rect">
                      <a:avLst/>
                    </a:prstGeom>
                    <a:noFill/>
                  </pic:spPr>
                </pic:pic>
              </a:graphicData>
            </a:graphic>
          </wp:inline>
        </w:drawing>
      </w:r>
    </w:p>
    <w:p w14:paraId="32AECD8E" w14:textId="5DB515D7" w:rsidR="005F062A" w:rsidRDefault="005F062A" w:rsidP="005F062A">
      <w:pPr>
        <w:pStyle w:val="Caption"/>
        <w:jc w:val="center"/>
      </w:pPr>
      <w:bookmarkStart w:id="8" w:name="_Ref16889402"/>
      <w:r>
        <w:t xml:space="preserve">Figure </w:t>
      </w:r>
      <w:r w:rsidR="00CE2663">
        <w:fldChar w:fldCharType="begin"/>
      </w:r>
      <w:r w:rsidR="00CE2663">
        <w:instrText xml:space="preserve"> SEQ Figure \* ARABIC </w:instrText>
      </w:r>
      <w:r w:rsidR="00CE2663">
        <w:fldChar w:fldCharType="separate"/>
      </w:r>
      <w:r w:rsidR="00502D2F">
        <w:rPr>
          <w:noProof/>
        </w:rPr>
        <w:t>5</w:t>
      </w:r>
      <w:r w:rsidR="00CE2663">
        <w:rPr>
          <w:noProof/>
        </w:rPr>
        <w:fldChar w:fldCharType="end"/>
      </w:r>
      <w:bookmarkEnd w:id="8"/>
      <w:r>
        <w:t xml:space="preserve"> – Signalling “no data” in an MTBG transmission through a combination of ACK/NACK status and NDI bitmap</w:t>
      </w:r>
    </w:p>
    <w:p w14:paraId="352532E8" w14:textId="62E15E5A" w:rsidR="005F062A" w:rsidRDefault="00022326" w:rsidP="005F062A">
      <w:pPr>
        <w:pStyle w:val="Caption"/>
      </w:pPr>
      <w:r>
        <w:t xml:space="preserve">Proposal 5. For an MTBG transmission, when the UE signals ACK for a HARQ process and the NDI bit is not toggled when that HARQ process is subsequently used, the UE understands that no data is transmitted in that HARQ process. </w:t>
      </w:r>
    </w:p>
    <w:p w14:paraId="7AED8C7E" w14:textId="29A88659" w:rsidR="00022326" w:rsidRPr="00022326" w:rsidRDefault="00022326" w:rsidP="00022326">
      <w:r>
        <w:t>Note that the above proposal is applicable to both the DL and UL. The power saving is likely to be greater for the UL case.</w:t>
      </w:r>
    </w:p>
    <w:p w14:paraId="51811903" w14:textId="135A5B7A" w:rsidR="00CA5461" w:rsidRPr="00CA5461" w:rsidRDefault="0023629F" w:rsidP="00792E00">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rPr>
          <w:rFonts w:eastAsia="MS Mincho"/>
          <w:lang w:val="en-US"/>
        </w:rPr>
      </w:pPr>
      <w:r>
        <w:t>HARQ ACK / NACK feedback</w:t>
      </w:r>
    </w:p>
    <w:p w14:paraId="06E29999" w14:textId="11FA85F6" w:rsidR="00022326" w:rsidRDefault="00022326" w:rsidP="00E62C72">
      <w:pPr>
        <w:rPr>
          <w:bCs/>
          <w:noProof/>
          <w:lang w:val="en-US" w:eastAsia="en-GB"/>
        </w:rPr>
      </w:pPr>
      <w:r w:rsidRPr="00022326">
        <w:rPr>
          <w:rFonts w:eastAsia="MS Mincho"/>
          <w:color w:val="0070C0"/>
          <w:lang w:val="en-US"/>
        </w:rPr>
        <w:t>This section is a resubmission of the corresponding section from [</w:t>
      </w:r>
      <w:r w:rsidR="00D3198E">
        <w:rPr>
          <w:rFonts w:eastAsia="MS Mincho"/>
          <w:color w:val="0070C0"/>
          <w:lang w:val="en-US"/>
        </w:rPr>
        <w:t>3</w:t>
      </w:r>
      <w:r w:rsidRPr="00022326">
        <w:rPr>
          <w:rFonts w:eastAsia="MS Mincho"/>
          <w:color w:val="0070C0"/>
          <w:lang w:val="en-US"/>
        </w:rPr>
        <w:t>], since there was no conclusion on this issue in RAN1#97 Reno</w:t>
      </w:r>
      <w:r w:rsidRPr="00022326">
        <w:rPr>
          <w:rFonts w:eastAsia="MS Mincho"/>
          <w:lang w:val="en-US"/>
        </w:rPr>
        <w:t>.</w:t>
      </w:r>
    </w:p>
    <w:p w14:paraId="4BA92DE4" w14:textId="33A61E3B" w:rsidR="00E62C72" w:rsidRDefault="00296551" w:rsidP="00E62C72">
      <w:pPr>
        <w:rPr>
          <w:bCs/>
          <w:noProof/>
          <w:lang w:val="en-US" w:eastAsia="en-GB"/>
        </w:rPr>
      </w:pPr>
      <w:r>
        <w:rPr>
          <w:bCs/>
          <w:noProof/>
          <w:lang w:val="en-US" w:eastAsia="en-GB"/>
        </w:rPr>
        <w:t>HARQ bundling has been agreed to be supported in CE Mode A by RAN1 in RAN1#96bis</w:t>
      </w:r>
      <w:r w:rsidR="00792E00">
        <w:rPr>
          <w:bCs/>
          <w:noProof/>
          <w:lang w:val="en-US" w:eastAsia="en-GB"/>
        </w:rPr>
        <w:t>.</w:t>
      </w:r>
      <w:r>
        <w:rPr>
          <w:bCs/>
          <w:noProof/>
          <w:lang w:val="en-US" w:eastAsia="en-GB"/>
        </w:rPr>
        <w:t xml:space="preserve"> </w:t>
      </w:r>
      <w:r w:rsidR="00E62C72">
        <w:rPr>
          <w:bCs/>
          <w:noProof/>
          <w:lang w:val="en-US" w:eastAsia="en-GB"/>
        </w:rPr>
        <w:t xml:space="preserve">It was agreed in RAN1#94 that RAN1 would down-select between HARQ bundling and HARQ multiplexing. A consequence of the agreement to support HARQ bundling in CE mode A is hence that it has also been agreed to not support HARQ </w:t>
      </w:r>
      <w:r w:rsidR="00E62C72" w:rsidRPr="00A521CA">
        <w:rPr>
          <w:bCs/>
          <w:i/>
          <w:noProof/>
          <w:lang w:val="en-US" w:eastAsia="en-GB"/>
        </w:rPr>
        <w:t>multiplexing</w:t>
      </w:r>
      <w:r w:rsidR="00E62C72">
        <w:rPr>
          <w:bCs/>
          <w:noProof/>
          <w:lang w:val="en-US" w:eastAsia="en-GB"/>
        </w:rPr>
        <w:t xml:space="preserve"> in CE Mode A. </w:t>
      </w:r>
    </w:p>
    <w:p w14:paraId="72CB2A48" w14:textId="57D1AFEE" w:rsidR="00296551" w:rsidRPr="00E62C72" w:rsidRDefault="00E62C72" w:rsidP="00E62C72">
      <w:pPr>
        <w:rPr>
          <w:bCs/>
          <w:noProof/>
          <w:lang w:val="en-US" w:eastAsia="en-GB"/>
        </w:rPr>
      </w:pPr>
      <w:r>
        <w:rPr>
          <w:bCs/>
          <w:noProof/>
          <w:lang w:val="en-US" w:eastAsia="en-GB"/>
        </w:rPr>
        <w:t>It is</w:t>
      </w:r>
      <w:r w:rsidR="00296551">
        <w:rPr>
          <w:bCs/>
          <w:noProof/>
          <w:lang w:val="en-US" w:eastAsia="en-GB"/>
        </w:rPr>
        <w:t xml:space="preserve"> for further study</w:t>
      </w:r>
      <w:r>
        <w:rPr>
          <w:bCs/>
          <w:noProof/>
          <w:lang w:val="en-US" w:eastAsia="en-GB"/>
        </w:rPr>
        <w:t xml:space="preserve"> w</w:t>
      </w:r>
      <w:r w:rsidR="00296551" w:rsidRPr="00E62C72">
        <w:rPr>
          <w:bCs/>
          <w:noProof/>
          <w:lang w:val="en-US" w:eastAsia="en-GB"/>
        </w:rPr>
        <w:t>hether HARQ bundling or HARQ multiplexing are supported for CE Mode B</w:t>
      </w:r>
      <w:r>
        <w:rPr>
          <w:bCs/>
          <w:noProof/>
          <w:lang w:val="en-US" w:eastAsia="en-GB"/>
        </w:rPr>
        <w:t>.</w:t>
      </w:r>
    </w:p>
    <w:p w14:paraId="27AECF76" w14:textId="7DC9E67F" w:rsidR="00792E00" w:rsidRDefault="00792E00" w:rsidP="00792E00">
      <w:pPr>
        <w:rPr>
          <w:bCs/>
          <w:noProof/>
          <w:lang w:val="en-US" w:eastAsia="en-GB"/>
        </w:rPr>
      </w:pPr>
      <w:r w:rsidRPr="00922FEA">
        <w:rPr>
          <w:b/>
          <w:bCs/>
          <w:noProof/>
          <w:u w:val="single"/>
          <w:lang w:val="en-US" w:eastAsia="en-GB"/>
        </w:rPr>
        <w:t xml:space="preserve">HARQ </w:t>
      </w:r>
      <w:r w:rsidR="00296551" w:rsidRPr="00922FEA">
        <w:rPr>
          <w:b/>
          <w:bCs/>
          <w:noProof/>
          <w:u w:val="single"/>
          <w:lang w:val="en-US" w:eastAsia="en-GB"/>
        </w:rPr>
        <w:t xml:space="preserve">bundling vs </w:t>
      </w:r>
      <w:r w:rsidRPr="00922FEA">
        <w:rPr>
          <w:b/>
          <w:bCs/>
          <w:noProof/>
          <w:u w:val="single"/>
          <w:lang w:val="en-US" w:eastAsia="en-GB"/>
        </w:rPr>
        <w:t>multiplexing</w:t>
      </w:r>
      <w:r w:rsidR="00296551" w:rsidRPr="00922FEA">
        <w:rPr>
          <w:b/>
          <w:bCs/>
          <w:noProof/>
          <w:u w:val="single"/>
          <w:lang w:val="en-US" w:eastAsia="en-GB"/>
        </w:rPr>
        <w:t xml:space="preserve"> in CE Mode </w:t>
      </w:r>
      <w:r w:rsidR="00E62C72" w:rsidRPr="00922FEA">
        <w:rPr>
          <w:b/>
          <w:bCs/>
          <w:noProof/>
          <w:u w:val="single"/>
          <w:lang w:val="en-US" w:eastAsia="en-GB"/>
        </w:rPr>
        <w:t>B</w:t>
      </w:r>
      <w:r w:rsidRPr="00922FEA">
        <w:rPr>
          <w:bCs/>
          <w:noProof/>
          <w:lang w:val="en-US" w:eastAsia="en-GB"/>
        </w:rPr>
        <w:t>.</w:t>
      </w:r>
      <w:r>
        <w:rPr>
          <w:bCs/>
          <w:noProof/>
          <w:lang w:val="en-US" w:eastAsia="en-GB"/>
        </w:rPr>
        <w:t xml:space="preserve"> </w:t>
      </w:r>
    </w:p>
    <w:p w14:paraId="7859A885" w14:textId="77BFB397" w:rsidR="00792E00" w:rsidRDefault="00792E00" w:rsidP="00792E00">
      <w:pPr>
        <w:rPr>
          <w:bCs/>
          <w:noProof/>
          <w:lang w:val="en-US" w:eastAsia="en-GB"/>
        </w:rPr>
      </w:pPr>
      <w:r>
        <w:rPr>
          <w:bCs/>
          <w:noProof/>
          <w:lang w:val="en-US" w:eastAsia="en-GB"/>
        </w:rPr>
        <w:t xml:space="preserve">The disadvantages with HARQ multiplexing </w:t>
      </w:r>
      <w:r w:rsidR="00B10D92">
        <w:rPr>
          <w:bCs/>
          <w:noProof/>
          <w:lang w:val="en-US" w:eastAsia="en-GB"/>
        </w:rPr>
        <w:t>were considered in [</w:t>
      </w:r>
      <w:r w:rsidR="00D3198E">
        <w:rPr>
          <w:bCs/>
          <w:noProof/>
          <w:lang w:val="en-US" w:eastAsia="en-GB"/>
        </w:rPr>
        <w:t>2</w:t>
      </w:r>
      <w:r w:rsidR="00B10D92">
        <w:rPr>
          <w:bCs/>
          <w:noProof/>
          <w:lang w:val="en-US" w:eastAsia="en-GB"/>
        </w:rPr>
        <w:t>]</w:t>
      </w:r>
      <w:r w:rsidR="00E62C72">
        <w:rPr>
          <w:bCs/>
          <w:noProof/>
          <w:lang w:val="en-US" w:eastAsia="en-GB"/>
        </w:rPr>
        <w:t xml:space="preserve"> and are listed below</w:t>
      </w:r>
      <w:r>
        <w:rPr>
          <w:bCs/>
          <w:noProof/>
          <w:lang w:val="en-US" w:eastAsia="en-GB"/>
        </w:rPr>
        <w:t>:</w:t>
      </w:r>
    </w:p>
    <w:p w14:paraId="22A30189" w14:textId="1B723B36" w:rsidR="00792E00" w:rsidRDefault="00792E00" w:rsidP="00792E00">
      <w:pPr>
        <w:numPr>
          <w:ilvl w:val="0"/>
          <w:numId w:val="37"/>
        </w:numPr>
        <w:rPr>
          <w:bCs/>
          <w:noProof/>
          <w:lang w:val="en-US" w:eastAsia="en-GB"/>
        </w:rPr>
      </w:pPr>
      <w:r>
        <w:rPr>
          <w:bCs/>
          <w:noProof/>
          <w:lang w:val="en-US" w:eastAsia="en-GB"/>
        </w:rPr>
        <w:t>The SNR performance of a PUCCH carrying multiplexed HARQ ACK / NACK is worse than that of a PUCCH carrying a single HARQ-bundled bit. This is because the processing gain is clearly smaller when PUCCH carries multiple bits. The SNR degradation needs to be compensated for with repetition.</w:t>
      </w:r>
      <w:r w:rsidR="00E62C72">
        <w:rPr>
          <w:bCs/>
          <w:noProof/>
          <w:lang w:val="en-US" w:eastAsia="en-GB"/>
        </w:rPr>
        <w:t xml:space="preserve"> The amount o</w:t>
      </w:r>
      <w:r w:rsidR="00A521CA">
        <w:rPr>
          <w:bCs/>
          <w:noProof/>
          <w:lang w:val="en-US" w:eastAsia="en-GB"/>
        </w:rPr>
        <w:t>f</w:t>
      </w:r>
      <w:r w:rsidR="00E62C72">
        <w:rPr>
          <w:bCs/>
          <w:noProof/>
          <w:lang w:val="en-US" w:eastAsia="en-GB"/>
        </w:rPr>
        <w:t xml:space="preserve"> repetition required (and the associated power consumption) is a bigger issue for CE Mode B than for CE Mode A.</w:t>
      </w:r>
    </w:p>
    <w:p w14:paraId="627EAB20" w14:textId="498BD182" w:rsidR="00792E00" w:rsidRDefault="00E62C72" w:rsidP="00792E00">
      <w:pPr>
        <w:numPr>
          <w:ilvl w:val="0"/>
          <w:numId w:val="37"/>
        </w:numPr>
        <w:rPr>
          <w:bCs/>
          <w:noProof/>
          <w:lang w:val="en-US" w:eastAsia="en-GB"/>
        </w:rPr>
      </w:pPr>
      <w:r>
        <w:rPr>
          <w:bCs/>
          <w:noProof/>
          <w:lang w:val="en-US" w:eastAsia="en-GB"/>
        </w:rPr>
        <w:t>While there are some specification impacts with supporting HARQ bundling, RAN1 has already committed to making these specification changes (according to the RAN1#96bis agreements)</w:t>
      </w:r>
      <w:r w:rsidR="00792E00">
        <w:rPr>
          <w:bCs/>
          <w:noProof/>
          <w:lang w:val="en-US" w:eastAsia="en-GB"/>
        </w:rPr>
        <w:t>.</w:t>
      </w:r>
      <w:r>
        <w:rPr>
          <w:bCs/>
          <w:noProof/>
          <w:lang w:val="en-US" w:eastAsia="en-GB"/>
        </w:rPr>
        <w:t xml:space="preserve"> It seems to be unnecessary to make additional specification changes for additionally supporting HARQ multiplexing. </w:t>
      </w:r>
    </w:p>
    <w:p w14:paraId="13F14DE8" w14:textId="21338B7A" w:rsidR="00E62C72" w:rsidRDefault="00E62C72" w:rsidP="00E62C72">
      <w:pPr>
        <w:rPr>
          <w:bCs/>
          <w:noProof/>
          <w:lang w:val="en-US" w:eastAsia="en-GB"/>
        </w:rPr>
      </w:pPr>
      <w:r w:rsidRPr="00657549">
        <w:rPr>
          <w:b/>
          <w:bCs/>
          <w:noProof/>
          <w:lang w:val="en-US" w:eastAsia="en-GB"/>
        </w:rPr>
        <w:t xml:space="preserve">Proposal </w:t>
      </w:r>
      <w:r w:rsidR="00022326">
        <w:rPr>
          <w:b/>
          <w:bCs/>
          <w:noProof/>
          <w:lang w:val="en-US" w:eastAsia="en-GB"/>
        </w:rPr>
        <w:t>6</w:t>
      </w:r>
      <w:r w:rsidRPr="00657549">
        <w:rPr>
          <w:b/>
          <w:bCs/>
          <w:noProof/>
          <w:lang w:val="en-US" w:eastAsia="en-GB"/>
        </w:rPr>
        <w:t>: HARQ bundling is supported for CE Mode B for the MTBG feature</w:t>
      </w:r>
      <w:r>
        <w:rPr>
          <w:bCs/>
          <w:noProof/>
          <w:lang w:val="en-US" w:eastAsia="en-GB"/>
        </w:rPr>
        <w:t>.</w:t>
      </w:r>
    </w:p>
    <w:p w14:paraId="4B2C53F2" w14:textId="77777777" w:rsidR="00E62C72" w:rsidRDefault="00E62C72" w:rsidP="00E62C72">
      <w:pPr>
        <w:rPr>
          <w:bCs/>
          <w:noProof/>
          <w:lang w:val="en-US" w:eastAsia="en-GB"/>
        </w:rPr>
      </w:pPr>
    </w:p>
    <w:p w14:paraId="3077D9F8" w14:textId="665AEEE6" w:rsidR="00792E00" w:rsidRDefault="00792E00" w:rsidP="00792E00">
      <w:pPr>
        <w:rPr>
          <w:bCs/>
          <w:noProof/>
          <w:lang w:val="en-US" w:eastAsia="en-GB"/>
        </w:rPr>
      </w:pPr>
      <w:r w:rsidRPr="00736356">
        <w:rPr>
          <w:b/>
          <w:bCs/>
          <w:noProof/>
          <w:u w:val="single"/>
          <w:lang w:val="en-US" w:eastAsia="en-GB"/>
        </w:rPr>
        <w:t>HARQ bundling</w:t>
      </w:r>
      <w:r w:rsidR="00E62C72">
        <w:rPr>
          <w:b/>
          <w:bCs/>
          <w:noProof/>
          <w:u w:val="single"/>
          <w:lang w:val="en-US" w:eastAsia="en-GB"/>
        </w:rPr>
        <w:t xml:space="preserve"> size</w:t>
      </w:r>
      <w:r>
        <w:rPr>
          <w:bCs/>
          <w:noProof/>
          <w:lang w:val="en-US" w:eastAsia="en-GB"/>
        </w:rPr>
        <w:t>.</w:t>
      </w:r>
    </w:p>
    <w:p w14:paraId="00F1D5CA" w14:textId="6166D477" w:rsidR="00792E00" w:rsidRDefault="00792E00" w:rsidP="00792E00">
      <w:pPr>
        <w:rPr>
          <w:bCs/>
          <w:noProof/>
          <w:lang w:val="en-US" w:eastAsia="en-GB"/>
        </w:rPr>
      </w:pPr>
      <w:r>
        <w:rPr>
          <w:bCs/>
          <w:noProof/>
          <w:lang w:val="en-US" w:eastAsia="en-GB"/>
        </w:rPr>
        <w:t>When HARQ bundling is applied, all of the ACK-NACK bits for the individual transport blocks are combined via a logical-AND operation. If one of the transport blocks is in error, then the whole HARQ bundle is reported as NACK and is subject to re-transmission. Hence it is not productive to have an overly large HARQ bundle size.  The probability of a bundled-HARQ reporting NACK depends on the bundle size, ‘n’</w:t>
      </w:r>
      <w:r w:rsidR="00CC4DE0">
        <w:rPr>
          <w:bCs/>
          <w:noProof/>
          <w:lang w:val="en-US" w:eastAsia="en-GB"/>
        </w:rPr>
        <w:t>,</w:t>
      </w:r>
      <w:r>
        <w:rPr>
          <w:bCs/>
          <w:noProof/>
          <w:lang w:val="en-US" w:eastAsia="en-GB"/>
        </w:rPr>
        <w:t xml:space="preserve"> and the PDSCH </w:t>
      </w:r>
      <w:r>
        <w:rPr>
          <w:bCs/>
          <w:noProof/>
          <w:lang w:val="en-US" w:eastAsia="en-GB"/>
        </w:rPr>
        <w:lastRenderedPageBreak/>
        <w:t>BLER. Assuming PDSCH transport blocks are subject to failure independently, the probability of the HARQ-bundle reporting NACK is:</w:t>
      </w:r>
    </w:p>
    <w:p w14:paraId="58A35FED" w14:textId="77777777" w:rsidR="00792E00" w:rsidRDefault="00CE2663" w:rsidP="00792E00">
      <w:pPr>
        <w:rPr>
          <w:bCs/>
          <w:noProof/>
          <w:lang w:val="en-US" w:eastAsia="en-GB"/>
        </w:rPr>
      </w:pPr>
      <m:oMath>
        <m:sSub>
          <m:sSubPr>
            <m:ctrlPr>
              <w:rPr>
                <w:rFonts w:ascii="Cambria Math" w:hAnsi="Cambria Math"/>
                <w:bCs/>
                <w:noProof/>
                <w:lang w:val="en-US" w:eastAsia="en-GB"/>
              </w:rPr>
            </m:ctrlPr>
          </m:sSubPr>
          <m:e>
            <m:r>
              <w:rPr>
                <w:rFonts w:ascii="Cambria Math" w:hAnsi="Cambria Math"/>
                <w:noProof/>
                <w:lang w:val="en-US" w:eastAsia="en-GB"/>
              </w:rPr>
              <m:t>P</m:t>
            </m:r>
          </m:e>
          <m:sub>
            <m:r>
              <w:rPr>
                <w:rFonts w:ascii="Cambria Math" w:hAnsi="Cambria Math"/>
                <w:noProof/>
                <w:lang w:val="en-US" w:eastAsia="en-GB"/>
              </w:rPr>
              <m:t>nack</m:t>
            </m:r>
          </m:sub>
        </m:sSub>
        <m:r>
          <w:rPr>
            <w:rFonts w:ascii="Cambria Math" w:hAnsi="Cambria Math"/>
            <w:noProof/>
            <w:lang w:val="en-US" w:eastAsia="en-GB"/>
          </w:rPr>
          <m:t>=1-</m:t>
        </m:r>
        <m:sSup>
          <m:sSupPr>
            <m:ctrlPr>
              <w:rPr>
                <w:rFonts w:ascii="Cambria Math" w:hAnsi="Cambria Math"/>
                <w:bCs/>
                <w:i/>
                <w:noProof/>
                <w:lang w:val="en-US" w:eastAsia="en-GB"/>
              </w:rPr>
            </m:ctrlPr>
          </m:sSupPr>
          <m:e>
            <m:d>
              <m:dPr>
                <m:ctrlPr>
                  <w:rPr>
                    <w:rFonts w:ascii="Cambria Math" w:hAnsi="Cambria Math"/>
                    <w:bCs/>
                    <w:i/>
                    <w:noProof/>
                    <w:lang w:val="en-US" w:eastAsia="en-GB"/>
                  </w:rPr>
                </m:ctrlPr>
              </m:dPr>
              <m:e>
                <m:r>
                  <w:rPr>
                    <w:rFonts w:ascii="Cambria Math" w:hAnsi="Cambria Math"/>
                    <w:noProof/>
                    <w:lang w:val="en-US" w:eastAsia="en-GB"/>
                  </w:rPr>
                  <m:t>1-BLER</m:t>
                </m:r>
              </m:e>
            </m:d>
          </m:e>
          <m:sup>
            <m:r>
              <w:rPr>
                <w:rFonts w:ascii="Cambria Math" w:hAnsi="Cambria Math"/>
                <w:noProof/>
                <w:lang w:val="en-US" w:eastAsia="en-GB"/>
              </w:rPr>
              <m:t>n</m:t>
            </m:r>
          </m:sup>
        </m:sSup>
      </m:oMath>
      <w:r w:rsidR="00792E00">
        <w:rPr>
          <w:bCs/>
          <w:noProof/>
          <w:lang w:val="en-US" w:eastAsia="en-GB"/>
        </w:rPr>
        <w:t xml:space="preserve"> </w:t>
      </w:r>
    </w:p>
    <w:p w14:paraId="0EA3F41F" w14:textId="313D86FC" w:rsidR="00792E00" w:rsidRDefault="00792E00" w:rsidP="00792E00">
      <w:pPr>
        <w:rPr>
          <w:bCs/>
          <w:noProof/>
          <w:lang w:val="en-US" w:eastAsia="en-GB"/>
        </w:rPr>
      </w:pPr>
      <w:r>
        <w:rPr>
          <w:bCs/>
          <w:noProof/>
          <w:lang w:val="en-US" w:eastAsia="en-GB"/>
        </w:rPr>
        <w:t xml:space="preserve">As shown in </w:t>
      </w:r>
      <w:r>
        <w:rPr>
          <w:bCs/>
          <w:noProof/>
          <w:lang w:val="en-US" w:eastAsia="en-GB"/>
        </w:rPr>
        <w:fldChar w:fldCharType="begin"/>
      </w:r>
      <w:r>
        <w:rPr>
          <w:bCs/>
          <w:noProof/>
          <w:lang w:val="en-US" w:eastAsia="en-GB"/>
        </w:rPr>
        <w:instrText xml:space="preserve"> REF _Ref528962804 \h </w:instrText>
      </w:r>
      <w:r>
        <w:rPr>
          <w:bCs/>
          <w:noProof/>
          <w:lang w:val="en-US" w:eastAsia="en-GB"/>
        </w:rPr>
      </w:r>
      <w:r>
        <w:rPr>
          <w:bCs/>
          <w:noProof/>
          <w:lang w:val="en-US" w:eastAsia="en-GB"/>
        </w:rPr>
        <w:fldChar w:fldCharType="separate"/>
      </w:r>
      <w:r w:rsidR="00502D2F">
        <w:t xml:space="preserve">Figure </w:t>
      </w:r>
      <w:r w:rsidR="00502D2F">
        <w:rPr>
          <w:noProof/>
        </w:rPr>
        <w:t>6</w:t>
      </w:r>
      <w:r>
        <w:rPr>
          <w:bCs/>
          <w:noProof/>
          <w:lang w:val="en-US" w:eastAsia="en-GB"/>
        </w:rPr>
        <w:fldChar w:fldCharType="end"/>
      </w:r>
      <w:r>
        <w:rPr>
          <w:bCs/>
          <w:noProof/>
          <w:lang w:val="en-US" w:eastAsia="en-GB"/>
        </w:rPr>
        <w:t xml:space="preserve">, the probability of a NACK being reported rises signficantly as the bundle size and PDSCH BLER increase. </w:t>
      </w:r>
      <w:r w:rsidR="00A521CA">
        <w:rPr>
          <w:bCs/>
          <w:noProof/>
          <w:lang w:val="en-US" w:eastAsia="en-GB"/>
        </w:rPr>
        <w:t>In order f</w:t>
      </w:r>
      <w:r w:rsidR="009C5434">
        <w:rPr>
          <w:bCs/>
          <w:noProof/>
          <w:lang w:val="en-US" w:eastAsia="en-GB"/>
        </w:rPr>
        <w:t xml:space="preserve">or the probability of the HARQ ACK-NACK report to indicate NACK with less than 50% probability, a compromise HARQ bundle size is 4 transport blocks. If more than 4 transport blocks are assigned in the MTBG feature, multiple HARQ bundle reports can be sent (e.g. for CE Mode A, if 8 transport blocks are sent, one HARQ bundle would report the status of the first 4 transport blocks and a second HARQ bundle would report the status of the second 4 transport blocks).     </w:t>
      </w:r>
    </w:p>
    <w:p w14:paraId="42D91337" w14:textId="75D30183" w:rsidR="00792E00" w:rsidRDefault="00964810" w:rsidP="00792E00">
      <w:pPr>
        <w:rPr>
          <w:bCs/>
          <w:noProof/>
          <w:lang w:val="en-US" w:eastAsia="en-GB"/>
        </w:rPr>
      </w:pPr>
      <w:r w:rsidRPr="00964810">
        <w:rPr>
          <w:b/>
          <w:bCs/>
          <w:noProof/>
          <w:lang w:val="en-US" w:eastAsia="en-GB"/>
        </w:rPr>
        <w:t xml:space="preserve">Proposal </w:t>
      </w:r>
      <w:r w:rsidR="002D2D61">
        <w:rPr>
          <w:b/>
          <w:bCs/>
          <w:noProof/>
          <w:lang w:val="en-US" w:eastAsia="en-GB"/>
        </w:rPr>
        <w:t>7</w:t>
      </w:r>
      <w:r w:rsidRPr="00964810">
        <w:rPr>
          <w:b/>
          <w:bCs/>
          <w:noProof/>
          <w:lang w:val="en-US" w:eastAsia="en-GB"/>
        </w:rPr>
        <w:t>: The maximum HARQ bundle size is 4</w:t>
      </w:r>
      <w:r>
        <w:rPr>
          <w:bCs/>
          <w:noProof/>
          <w:lang w:val="en-US" w:eastAsia="en-GB"/>
        </w:rPr>
        <w:t>.</w:t>
      </w:r>
    </w:p>
    <w:p w14:paraId="1CC30989" w14:textId="77777777" w:rsidR="00792E00" w:rsidRDefault="00792E00" w:rsidP="00792E00">
      <w:pPr>
        <w:jc w:val="center"/>
        <w:rPr>
          <w:bCs/>
          <w:noProof/>
          <w:lang w:val="en-US" w:eastAsia="en-GB"/>
        </w:rPr>
      </w:pPr>
      <w:r>
        <w:rPr>
          <w:noProof/>
          <w:lang w:eastAsia="ja-JP"/>
        </w:rPr>
        <w:drawing>
          <wp:inline distT="0" distB="0" distL="0" distR="0" wp14:anchorId="7BC9094E" wp14:editId="6A76E14E">
            <wp:extent cx="3349461" cy="2791218"/>
            <wp:effectExtent l="0" t="0" r="3810" b="952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360279" cy="2800233"/>
                    </a:xfrm>
                    <a:prstGeom prst="rect">
                      <a:avLst/>
                    </a:prstGeom>
                  </pic:spPr>
                </pic:pic>
              </a:graphicData>
            </a:graphic>
          </wp:inline>
        </w:drawing>
      </w:r>
    </w:p>
    <w:p w14:paraId="01519D79" w14:textId="4562C9DE" w:rsidR="00792E00" w:rsidRDefault="00792E00" w:rsidP="00792E00">
      <w:pPr>
        <w:pStyle w:val="Caption"/>
        <w:jc w:val="center"/>
        <w:rPr>
          <w:bCs/>
          <w:noProof/>
          <w:lang w:val="en-US" w:eastAsia="en-GB"/>
        </w:rPr>
      </w:pPr>
      <w:bookmarkStart w:id="9" w:name="_Ref528962804"/>
      <w:r>
        <w:t xml:space="preserve">Figure </w:t>
      </w:r>
      <w:r>
        <w:rPr>
          <w:noProof/>
        </w:rPr>
        <w:fldChar w:fldCharType="begin"/>
      </w:r>
      <w:r>
        <w:rPr>
          <w:noProof/>
        </w:rPr>
        <w:instrText xml:space="preserve"> SEQ Figure \* ARABIC </w:instrText>
      </w:r>
      <w:r>
        <w:rPr>
          <w:noProof/>
        </w:rPr>
        <w:fldChar w:fldCharType="separate"/>
      </w:r>
      <w:r w:rsidR="00502D2F">
        <w:rPr>
          <w:noProof/>
        </w:rPr>
        <w:t>6</w:t>
      </w:r>
      <w:r>
        <w:rPr>
          <w:noProof/>
        </w:rPr>
        <w:fldChar w:fldCharType="end"/>
      </w:r>
      <w:bookmarkEnd w:id="9"/>
      <w:r>
        <w:t xml:space="preserve"> - Probability of HARQ bundle reporting NACK as bundle size increases</w:t>
      </w:r>
    </w:p>
    <w:p w14:paraId="75AAD492" w14:textId="24CA1897" w:rsidR="009C5434" w:rsidRDefault="009C5434" w:rsidP="00792E00">
      <w:pPr>
        <w:rPr>
          <w:bCs/>
          <w:noProof/>
          <w:lang w:val="en-US" w:eastAsia="en-GB"/>
        </w:rPr>
      </w:pPr>
    </w:p>
    <w:p w14:paraId="73C712B2" w14:textId="7770389B" w:rsidR="00792E00" w:rsidRDefault="00964810" w:rsidP="00964810">
      <w:pPr>
        <w:rPr>
          <w:bCs/>
          <w:noProof/>
          <w:lang w:val="en-US" w:eastAsia="en-GB"/>
        </w:rPr>
      </w:pPr>
      <w:r>
        <w:rPr>
          <w:bCs/>
          <w:noProof/>
          <w:lang w:val="en-US" w:eastAsia="en-GB"/>
        </w:rPr>
        <w:t>When a HARQ bundle reports NACK, the eNB ideally needs to know which of the constituent transport blocks associated with the HARQ bundle needs to be re-transmitted. In order to allow signalling of the ACK / NACK status of individual transport blocks</w:t>
      </w:r>
      <w:r w:rsidR="00792E00">
        <w:rPr>
          <w:bCs/>
          <w:noProof/>
          <w:lang w:val="en-US" w:eastAsia="en-GB"/>
        </w:rPr>
        <w:t xml:space="preserve">, it is proposed that if the HARQ ACK-NACK bundle indicates NACK, the UE additionally transmits separate PUCCH indcating the ACK / NACK status of the individual DL PDSCH transport blocks, as shown in </w:t>
      </w:r>
      <w:r w:rsidR="00792E00">
        <w:rPr>
          <w:bCs/>
          <w:noProof/>
          <w:lang w:val="en-US" w:eastAsia="en-GB"/>
        </w:rPr>
        <w:fldChar w:fldCharType="begin"/>
      </w:r>
      <w:r w:rsidR="00792E00">
        <w:rPr>
          <w:bCs/>
          <w:noProof/>
          <w:lang w:val="en-US" w:eastAsia="en-GB"/>
        </w:rPr>
        <w:instrText xml:space="preserve"> REF _Ref528964455 \h </w:instrText>
      </w:r>
      <w:r w:rsidR="00792E00">
        <w:rPr>
          <w:bCs/>
          <w:noProof/>
          <w:lang w:val="en-US" w:eastAsia="en-GB"/>
        </w:rPr>
      </w:r>
      <w:r w:rsidR="00792E00">
        <w:rPr>
          <w:bCs/>
          <w:noProof/>
          <w:lang w:val="en-US" w:eastAsia="en-GB"/>
        </w:rPr>
        <w:fldChar w:fldCharType="separate"/>
      </w:r>
      <w:r w:rsidR="00502D2F">
        <w:t xml:space="preserve">Figure </w:t>
      </w:r>
      <w:r w:rsidR="00502D2F">
        <w:rPr>
          <w:noProof/>
        </w:rPr>
        <w:t>7</w:t>
      </w:r>
      <w:r w:rsidR="00792E00">
        <w:rPr>
          <w:bCs/>
          <w:noProof/>
          <w:lang w:val="en-US" w:eastAsia="en-GB"/>
        </w:rPr>
        <w:fldChar w:fldCharType="end"/>
      </w:r>
      <w:r w:rsidR="00792E00">
        <w:rPr>
          <w:bCs/>
          <w:noProof/>
          <w:lang w:val="en-US" w:eastAsia="en-GB"/>
        </w:rPr>
        <w:t>.</w:t>
      </w:r>
    </w:p>
    <w:p w14:paraId="37252F69" w14:textId="77777777" w:rsidR="00792E00" w:rsidRDefault="00792E00" w:rsidP="00792E00">
      <w:pPr>
        <w:rPr>
          <w:bCs/>
          <w:noProof/>
          <w:lang w:val="en-US" w:eastAsia="en-GB"/>
        </w:rPr>
      </w:pPr>
      <w:r>
        <w:rPr>
          <w:bCs/>
          <w:noProof/>
          <w:lang w:eastAsia="ja-JP"/>
        </w:rPr>
        <w:drawing>
          <wp:inline distT="0" distB="0" distL="0" distR="0" wp14:anchorId="6DAE63CC" wp14:editId="5637699E">
            <wp:extent cx="6083300" cy="2159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83300" cy="2159000"/>
                    </a:xfrm>
                    <a:prstGeom prst="rect">
                      <a:avLst/>
                    </a:prstGeom>
                    <a:noFill/>
                    <a:ln>
                      <a:noFill/>
                    </a:ln>
                  </pic:spPr>
                </pic:pic>
              </a:graphicData>
            </a:graphic>
          </wp:inline>
        </w:drawing>
      </w:r>
    </w:p>
    <w:p w14:paraId="2898B13A" w14:textId="43D22C9D" w:rsidR="00792E00" w:rsidRDefault="00792E00" w:rsidP="00792E00">
      <w:pPr>
        <w:pStyle w:val="Caption"/>
        <w:rPr>
          <w:bCs/>
          <w:noProof/>
          <w:lang w:val="en-US" w:eastAsia="en-GB"/>
        </w:rPr>
      </w:pPr>
      <w:bookmarkStart w:id="10" w:name="_Ref528964455"/>
      <w:r>
        <w:t xml:space="preserve">Figure </w:t>
      </w:r>
      <w:r>
        <w:rPr>
          <w:noProof/>
        </w:rPr>
        <w:fldChar w:fldCharType="begin"/>
      </w:r>
      <w:r>
        <w:rPr>
          <w:noProof/>
        </w:rPr>
        <w:instrText xml:space="preserve"> SEQ Figure \* ARABIC </w:instrText>
      </w:r>
      <w:r>
        <w:rPr>
          <w:noProof/>
        </w:rPr>
        <w:fldChar w:fldCharType="separate"/>
      </w:r>
      <w:r w:rsidR="00502D2F">
        <w:rPr>
          <w:noProof/>
        </w:rPr>
        <w:t>7</w:t>
      </w:r>
      <w:r>
        <w:rPr>
          <w:noProof/>
        </w:rPr>
        <w:fldChar w:fldCharType="end"/>
      </w:r>
      <w:bookmarkEnd w:id="10"/>
      <w:r>
        <w:t xml:space="preserve"> – Transmission of individual ACK / NACK indications after a transmission of a HARQ-bundled NACK</w:t>
      </w:r>
    </w:p>
    <w:p w14:paraId="04D3CEFF" w14:textId="2703EC6E" w:rsidR="00792E00" w:rsidRDefault="00792E00" w:rsidP="00792E00">
      <w:pPr>
        <w:rPr>
          <w:bCs/>
          <w:noProof/>
          <w:lang w:val="en-US" w:eastAsia="en-GB"/>
        </w:rPr>
      </w:pPr>
      <w:r>
        <w:rPr>
          <w:bCs/>
          <w:noProof/>
          <w:lang w:val="en-US" w:eastAsia="en-GB"/>
        </w:rPr>
        <w:fldChar w:fldCharType="begin"/>
      </w:r>
      <w:r>
        <w:rPr>
          <w:bCs/>
          <w:noProof/>
          <w:lang w:val="en-US" w:eastAsia="en-GB"/>
        </w:rPr>
        <w:instrText xml:space="preserve"> REF _Ref528964455 \h </w:instrText>
      </w:r>
      <w:r>
        <w:rPr>
          <w:bCs/>
          <w:noProof/>
          <w:lang w:val="en-US" w:eastAsia="en-GB"/>
        </w:rPr>
      </w:r>
      <w:r>
        <w:rPr>
          <w:bCs/>
          <w:noProof/>
          <w:lang w:val="en-US" w:eastAsia="en-GB"/>
        </w:rPr>
        <w:fldChar w:fldCharType="separate"/>
      </w:r>
      <w:r w:rsidR="00502D2F">
        <w:t xml:space="preserve">Figure </w:t>
      </w:r>
      <w:r w:rsidR="00502D2F">
        <w:rPr>
          <w:noProof/>
        </w:rPr>
        <w:t>7</w:t>
      </w:r>
      <w:r>
        <w:rPr>
          <w:bCs/>
          <w:noProof/>
          <w:lang w:val="en-US" w:eastAsia="en-GB"/>
        </w:rPr>
        <w:fldChar w:fldCharType="end"/>
      </w:r>
      <w:r>
        <w:rPr>
          <w:bCs/>
          <w:noProof/>
          <w:lang w:val="en-US" w:eastAsia="en-GB"/>
        </w:rPr>
        <w:t xml:space="preserve"> shows:</w:t>
      </w:r>
    </w:p>
    <w:p w14:paraId="4CB8C6B5" w14:textId="5BC530D2" w:rsidR="00792E00" w:rsidRDefault="00792E00" w:rsidP="00792E00">
      <w:pPr>
        <w:pStyle w:val="ListParagraph"/>
        <w:numPr>
          <w:ilvl w:val="0"/>
          <w:numId w:val="38"/>
        </w:numPr>
        <w:contextualSpacing w:val="0"/>
        <w:rPr>
          <w:bCs/>
          <w:noProof/>
          <w:lang w:val="en-US" w:eastAsia="en-GB"/>
        </w:rPr>
      </w:pPr>
      <w:r>
        <w:rPr>
          <w:bCs/>
          <w:noProof/>
          <w:lang w:val="en-US" w:eastAsia="en-GB"/>
        </w:rPr>
        <w:lastRenderedPageBreak/>
        <w:t xml:space="preserve">When all PDSCH are ACK-ed, a single bundled-ACK bit is sent on PUCCH. From </w:t>
      </w:r>
      <w:r>
        <w:rPr>
          <w:bCs/>
          <w:noProof/>
          <w:lang w:val="en-US" w:eastAsia="en-GB"/>
        </w:rPr>
        <w:fldChar w:fldCharType="begin"/>
      </w:r>
      <w:r>
        <w:rPr>
          <w:bCs/>
          <w:noProof/>
          <w:lang w:val="en-US" w:eastAsia="en-GB"/>
        </w:rPr>
        <w:instrText xml:space="preserve"> REF _Ref528962804 \h </w:instrText>
      </w:r>
      <w:r>
        <w:rPr>
          <w:bCs/>
          <w:noProof/>
          <w:lang w:val="en-US" w:eastAsia="en-GB"/>
        </w:rPr>
      </w:r>
      <w:r>
        <w:rPr>
          <w:bCs/>
          <w:noProof/>
          <w:lang w:val="en-US" w:eastAsia="en-GB"/>
        </w:rPr>
        <w:fldChar w:fldCharType="separate"/>
      </w:r>
      <w:r w:rsidR="00502D2F">
        <w:t xml:space="preserve">Figure </w:t>
      </w:r>
      <w:r w:rsidR="00502D2F">
        <w:rPr>
          <w:noProof/>
        </w:rPr>
        <w:t>6</w:t>
      </w:r>
      <w:r>
        <w:rPr>
          <w:bCs/>
          <w:noProof/>
          <w:lang w:val="en-US" w:eastAsia="en-GB"/>
        </w:rPr>
        <w:fldChar w:fldCharType="end"/>
      </w:r>
      <w:r>
        <w:rPr>
          <w:bCs/>
          <w:noProof/>
          <w:lang w:val="en-US" w:eastAsia="en-GB"/>
        </w:rPr>
        <w:t xml:space="preserve">, when operating at a BLER target of </w:t>
      </w:r>
      <w:r w:rsidR="00964810">
        <w:rPr>
          <w:bCs/>
          <w:noProof/>
          <w:lang w:val="en-US" w:eastAsia="en-GB"/>
        </w:rPr>
        <w:t>2</w:t>
      </w:r>
      <w:r>
        <w:rPr>
          <w:bCs/>
          <w:noProof/>
          <w:lang w:val="en-US" w:eastAsia="en-GB"/>
        </w:rPr>
        <w:t xml:space="preserve">0%, this case occurs </w:t>
      </w:r>
      <w:r w:rsidR="00964810">
        <w:rPr>
          <w:bCs/>
          <w:noProof/>
          <w:lang w:val="en-US" w:eastAsia="en-GB"/>
        </w:rPr>
        <w:t>4</w:t>
      </w:r>
      <w:r>
        <w:rPr>
          <w:bCs/>
          <w:noProof/>
          <w:lang w:val="en-US" w:eastAsia="en-GB"/>
        </w:rPr>
        <w:t xml:space="preserve">0% of the time with a bundle size of </w:t>
      </w:r>
      <w:r w:rsidR="00964810">
        <w:rPr>
          <w:bCs/>
          <w:noProof/>
          <w:lang w:val="en-US" w:eastAsia="en-GB"/>
        </w:rPr>
        <w:t>4</w:t>
      </w:r>
      <w:r>
        <w:rPr>
          <w:bCs/>
          <w:noProof/>
          <w:lang w:val="en-US" w:eastAsia="en-GB"/>
        </w:rPr>
        <w:t xml:space="preserve">. i.e. </w:t>
      </w:r>
      <w:r w:rsidR="00964810">
        <w:rPr>
          <w:bCs/>
          <w:noProof/>
          <w:lang w:val="en-US" w:eastAsia="en-GB"/>
        </w:rPr>
        <w:t>ne</w:t>
      </w:r>
      <w:r w:rsidR="00A521CA">
        <w:rPr>
          <w:bCs/>
          <w:noProof/>
          <w:lang w:val="en-US" w:eastAsia="en-GB"/>
        </w:rPr>
        <w:t>a</w:t>
      </w:r>
      <w:r w:rsidR="00964810">
        <w:rPr>
          <w:bCs/>
          <w:noProof/>
          <w:lang w:val="en-US" w:eastAsia="en-GB"/>
        </w:rPr>
        <w:t xml:space="preserve">rly </w:t>
      </w:r>
      <w:r>
        <w:rPr>
          <w:bCs/>
          <w:noProof/>
          <w:lang w:val="en-US" w:eastAsia="en-GB"/>
        </w:rPr>
        <w:t>half the time there is no need to send individual ACK-NACK indications.</w:t>
      </w:r>
    </w:p>
    <w:p w14:paraId="67ABDED3" w14:textId="77777777" w:rsidR="00792E00" w:rsidRDefault="00792E00" w:rsidP="00792E00">
      <w:pPr>
        <w:pStyle w:val="ListParagraph"/>
        <w:numPr>
          <w:ilvl w:val="0"/>
          <w:numId w:val="38"/>
        </w:numPr>
        <w:contextualSpacing w:val="0"/>
        <w:rPr>
          <w:bCs/>
          <w:noProof/>
          <w:lang w:val="en-US" w:eastAsia="en-GB"/>
        </w:rPr>
      </w:pPr>
      <w:r>
        <w:rPr>
          <w:bCs/>
          <w:noProof/>
          <w:lang w:val="en-US" w:eastAsia="en-GB"/>
        </w:rPr>
        <w:t>When some PDSCH are NACK-ed, a single NACK bit is sent on PUCCH, followed by individual ACK-NACK bits sent on individual PUCCH. Note that the transmission of individual PUCCH is the default behaviour in any case.</w:t>
      </w:r>
    </w:p>
    <w:p w14:paraId="47903306" w14:textId="18CA1F85" w:rsidR="00792E00" w:rsidRPr="00360B15" w:rsidRDefault="00792E00" w:rsidP="00792E00">
      <w:pPr>
        <w:rPr>
          <w:bCs/>
          <w:noProof/>
          <w:lang w:val="en-US" w:eastAsia="en-GB"/>
        </w:rPr>
      </w:pPr>
      <w:r>
        <w:rPr>
          <w:bCs/>
          <w:noProof/>
          <w:lang w:val="en-US" w:eastAsia="en-GB"/>
        </w:rPr>
        <w:t xml:space="preserve">The average number of PUCCH that need to be transmitted using the scheme shown in </w:t>
      </w:r>
      <w:r>
        <w:rPr>
          <w:bCs/>
          <w:noProof/>
          <w:lang w:val="en-US" w:eastAsia="en-GB"/>
        </w:rPr>
        <w:fldChar w:fldCharType="begin"/>
      </w:r>
      <w:r>
        <w:rPr>
          <w:bCs/>
          <w:noProof/>
          <w:lang w:val="en-US" w:eastAsia="en-GB"/>
        </w:rPr>
        <w:instrText xml:space="preserve"> REF _Ref528964455 \h </w:instrText>
      </w:r>
      <w:r>
        <w:rPr>
          <w:bCs/>
          <w:noProof/>
          <w:lang w:val="en-US" w:eastAsia="en-GB"/>
        </w:rPr>
      </w:r>
      <w:r>
        <w:rPr>
          <w:bCs/>
          <w:noProof/>
          <w:lang w:val="en-US" w:eastAsia="en-GB"/>
        </w:rPr>
        <w:fldChar w:fldCharType="separate"/>
      </w:r>
      <w:r w:rsidR="00502D2F">
        <w:t xml:space="preserve">Figure </w:t>
      </w:r>
      <w:r w:rsidR="00502D2F">
        <w:rPr>
          <w:noProof/>
        </w:rPr>
        <w:t>7</w:t>
      </w:r>
      <w:r>
        <w:rPr>
          <w:bCs/>
          <w:noProof/>
          <w:lang w:val="en-US" w:eastAsia="en-GB"/>
        </w:rPr>
        <w:fldChar w:fldCharType="end"/>
      </w:r>
      <w:r>
        <w:rPr>
          <w:bCs/>
          <w:noProof/>
          <w:lang w:val="en-US" w:eastAsia="en-GB"/>
        </w:rPr>
        <w:t xml:space="preserve"> is shown in </w:t>
      </w:r>
      <w:r>
        <w:rPr>
          <w:bCs/>
          <w:noProof/>
          <w:lang w:val="en-US" w:eastAsia="en-GB"/>
        </w:rPr>
        <w:fldChar w:fldCharType="begin"/>
      </w:r>
      <w:r>
        <w:rPr>
          <w:bCs/>
          <w:noProof/>
          <w:lang w:val="en-US" w:eastAsia="en-GB"/>
        </w:rPr>
        <w:instrText xml:space="preserve"> REF _Ref528966136 \h </w:instrText>
      </w:r>
      <w:r>
        <w:rPr>
          <w:bCs/>
          <w:noProof/>
          <w:lang w:val="en-US" w:eastAsia="en-GB"/>
        </w:rPr>
      </w:r>
      <w:r>
        <w:rPr>
          <w:bCs/>
          <w:noProof/>
          <w:lang w:val="en-US" w:eastAsia="en-GB"/>
        </w:rPr>
        <w:fldChar w:fldCharType="separate"/>
      </w:r>
      <w:r w:rsidR="00502D2F">
        <w:t xml:space="preserve">Figure </w:t>
      </w:r>
      <w:r w:rsidR="00502D2F">
        <w:rPr>
          <w:noProof/>
        </w:rPr>
        <w:t>8</w:t>
      </w:r>
      <w:r>
        <w:rPr>
          <w:bCs/>
          <w:noProof/>
          <w:lang w:val="en-US" w:eastAsia="en-GB"/>
        </w:rPr>
        <w:fldChar w:fldCharType="end"/>
      </w:r>
      <w:r>
        <w:rPr>
          <w:bCs/>
          <w:noProof/>
          <w:lang w:val="en-US" w:eastAsia="en-GB"/>
        </w:rPr>
        <w:t>. It is seen that the average number of PUCCH transmitted by the UE is signficantly reduced when individual ACK / NACK indications are only transmitted following a HARQ-bundled NACK.</w:t>
      </w:r>
      <w:r w:rsidR="00964810">
        <w:rPr>
          <w:bCs/>
          <w:noProof/>
          <w:lang w:val="en-US" w:eastAsia="en-GB"/>
        </w:rPr>
        <w:t xml:space="preserve"> For example with a HARQ bundle size of 4, there is a 20% reduction in PUCCH transmission at BLER = 20% and a 40% reduction at BLER = 10%.</w:t>
      </w:r>
    </w:p>
    <w:p w14:paraId="02023604" w14:textId="77777777" w:rsidR="00792E00" w:rsidRDefault="00792E00" w:rsidP="00792E00">
      <w:pPr>
        <w:jc w:val="center"/>
        <w:rPr>
          <w:bCs/>
          <w:noProof/>
          <w:lang w:val="en-US" w:eastAsia="en-GB"/>
        </w:rPr>
      </w:pPr>
      <w:r>
        <w:rPr>
          <w:noProof/>
          <w:lang w:eastAsia="ja-JP"/>
        </w:rPr>
        <w:drawing>
          <wp:inline distT="0" distB="0" distL="0" distR="0" wp14:anchorId="26DBAA71" wp14:editId="542674EF">
            <wp:extent cx="4418310" cy="3681925"/>
            <wp:effectExtent l="0" t="0" r="1905"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424005" cy="3686671"/>
                    </a:xfrm>
                    <a:prstGeom prst="rect">
                      <a:avLst/>
                    </a:prstGeom>
                  </pic:spPr>
                </pic:pic>
              </a:graphicData>
            </a:graphic>
          </wp:inline>
        </w:drawing>
      </w:r>
    </w:p>
    <w:p w14:paraId="29DED9D9" w14:textId="0FA13781" w:rsidR="00792E00" w:rsidRDefault="00792E00" w:rsidP="00792E00">
      <w:pPr>
        <w:pStyle w:val="Caption"/>
        <w:jc w:val="center"/>
      </w:pPr>
      <w:bookmarkStart w:id="11" w:name="_Ref528966136"/>
      <w:r>
        <w:t xml:space="preserve">Figure </w:t>
      </w:r>
      <w:r>
        <w:rPr>
          <w:noProof/>
        </w:rPr>
        <w:fldChar w:fldCharType="begin"/>
      </w:r>
      <w:r>
        <w:rPr>
          <w:noProof/>
        </w:rPr>
        <w:instrText xml:space="preserve"> SEQ Figure \* ARABIC </w:instrText>
      </w:r>
      <w:r>
        <w:rPr>
          <w:noProof/>
        </w:rPr>
        <w:fldChar w:fldCharType="separate"/>
      </w:r>
      <w:r w:rsidR="00502D2F">
        <w:rPr>
          <w:noProof/>
        </w:rPr>
        <w:t>8</w:t>
      </w:r>
      <w:r>
        <w:rPr>
          <w:noProof/>
        </w:rPr>
        <w:fldChar w:fldCharType="end"/>
      </w:r>
      <w:bookmarkEnd w:id="11"/>
      <w:r>
        <w:t xml:space="preserve"> - Average number of PUCCH transmitted when individual PUCCH are transmitted following a HARQ-bundled NACK</w:t>
      </w:r>
    </w:p>
    <w:p w14:paraId="65581B9F" w14:textId="6513E936" w:rsidR="00792E00" w:rsidRPr="00360B15" w:rsidRDefault="00792E00" w:rsidP="00792E00">
      <w:r>
        <w:t>Based on the reduced number of PUCCH transmitted (and hence reduced UE power consumption), the following proposal</w:t>
      </w:r>
      <w:r w:rsidR="002D2D61">
        <w:t xml:space="preserve"> is</w:t>
      </w:r>
      <w:r>
        <w:t xml:space="preserve"> made:</w:t>
      </w:r>
    </w:p>
    <w:p w14:paraId="2CB6CC51" w14:textId="09B91230" w:rsidR="00792E00" w:rsidRDefault="00792E00" w:rsidP="00792E00">
      <w:pPr>
        <w:rPr>
          <w:b/>
          <w:bCs/>
          <w:noProof/>
          <w:lang w:val="en-US" w:eastAsia="en-GB"/>
        </w:rPr>
      </w:pPr>
      <w:r w:rsidRPr="00CA5461">
        <w:rPr>
          <w:b/>
          <w:bCs/>
          <w:noProof/>
          <w:lang w:val="en-US" w:eastAsia="en-GB"/>
        </w:rPr>
        <w:t xml:space="preserve">Proposal </w:t>
      </w:r>
      <w:r w:rsidR="002D2D61">
        <w:rPr>
          <w:b/>
          <w:bCs/>
          <w:noProof/>
          <w:lang w:val="en-US" w:eastAsia="en-GB"/>
        </w:rPr>
        <w:t>8</w:t>
      </w:r>
      <w:r w:rsidRPr="00CA5461">
        <w:rPr>
          <w:b/>
          <w:bCs/>
          <w:noProof/>
          <w:lang w:val="en-US" w:eastAsia="en-GB"/>
        </w:rPr>
        <w:t>: When a</w:t>
      </w:r>
      <w:r w:rsidRPr="00360B15">
        <w:rPr>
          <w:b/>
          <w:bCs/>
          <w:noProof/>
          <w:lang w:val="en-US" w:eastAsia="en-GB"/>
        </w:rPr>
        <w:t xml:space="preserve"> HARQ-bundled NACK is transmitted, individual PUCCH are transmitted following that HARQ-bundled NACK, indicating the ACK / NACK status of individual PDSCH transport blocks.</w:t>
      </w:r>
    </w:p>
    <w:p w14:paraId="0C96830A" w14:textId="6E41F6E3" w:rsidR="00116008" w:rsidRDefault="00116008" w:rsidP="002D4F72">
      <w:pPr>
        <w:rPr>
          <w:rFonts w:eastAsia="MS Mincho"/>
          <w:lang w:val="en-US"/>
        </w:rPr>
      </w:pPr>
    </w:p>
    <w:p w14:paraId="66E1682A" w14:textId="07F0C957" w:rsidR="00154A2B" w:rsidRDefault="00154A2B" w:rsidP="00154A2B">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t xml:space="preserve">Features that can be configured alongside MTBG </w:t>
      </w:r>
    </w:p>
    <w:p w14:paraId="002F82EA" w14:textId="5B4ED0A9" w:rsidR="00022326" w:rsidRPr="00022326" w:rsidRDefault="00022326" w:rsidP="002D4F72">
      <w:pPr>
        <w:rPr>
          <w:bCs/>
          <w:noProof/>
          <w:lang w:val="en-US" w:eastAsia="en-GB"/>
        </w:rPr>
      </w:pPr>
      <w:r w:rsidRPr="00D3198E">
        <w:rPr>
          <w:rFonts w:eastAsia="MS Mincho"/>
          <w:color w:val="0070C0"/>
          <w:lang w:val="en-US"/>
        </w:rPr>
        <w:t>This section is a resubmission of the corresponding section from [</w:t>
      </w:r>
      <w:r w:rsidR="00D3198E">
        <w:rPr>
          <w:rFonts w:eastAsia="MS Mincho"/>
          <w:color w:val="0070C0"/>
          <w:lang w:val="en-US"/>
        </w:rPr>
        <w:t>3</w:t>
      </w:r>
      <w:r w:rsidRPr="00D3198E">
        <w:rPr>
          <w:rFonts w:eastAsia="MS Mincho"/>
          <w:color w:val="0070C0"/>
          <w:lang w:val="en-US"/>
        </w:rPr>
        <w:t>], since there was no conclusion on this issue in RAN1#97 Reno.</w:t>
      </w:r>
    </w:p>
    <w:p w14:paraId="02E913CD" w14:textId="53690D49" w:rsidR="00154A2B" w:rsidRDefault="00154A2B" w:rsidP="002D4F72">
      <w:pPr>
        <w:rPr>
          <w:rFonts w:eastAsia="MS Mincho"/>
          <w:lang w:val="en-US"/>
        </w:rPr>
      </w:pPr>
      <w:r>
        <w:t>In RAN1#96bis, the following features were identified that could potentially be used alongside the MTBG feature:</w:t>
      </w:r>
    </w:p>
    <w:p w14:paraId="3D343D12" w14:textId="77777777" w:rsidR="00154A2B" w:rsidRDefault="00154A2B" w:rsidP="00154A2B">
      <w:pPr>
        <w:numPr>
          <w:ilvl w:val="0"/>
          <w:numId w:val="41"/>
        </w:numPr>
        <w:spacing w:after="0"/>
        <w:rPr>
          <w:rFonts w:eastAsia="Times New Roman"/>
        </w:rPr>
      </w:pPr>
      <w:r>
        <w:rPr>
          <w:rFonts w:eastAsia="Times New Roman"/>
        </w:rPr>
        <w:t>Rel-14 feature for new numbers of repetitions for PUSCH and modulation restrictions for PDSCH/PUSCH in CE mode A</w:t>
      </w:r>
    </w:p>
    <w:p w14:paraId="1817A858" w14:textId="77777777" w:rsidR="00154A2B" w:rsidRDefault="00154A2B" w:rsidP="00154A2B">
      <w:pPr>
        <w:numPr>
          <w:ilvl w:val="0"/>
          <w:numId w:val="41"/>
        </w:numPr>
        <w:spacing w:after="0"/>
        <w:rPr>
          <w:rFonts w:eastAsia="Times New Roman"/>
        </w:rPr>
      </w:pPr>
      <w:r>
        <w:rPr>
          <w:rFonts w:eastAsia="Times New Roman"/>
        </w:rPr>
        <w:t>Rel-14 feature for 2984 bits max UL TBS in 1.4 MHz in CE mode A</w:t>
      </w:r>
    </w:p>
    <w:p w14:paraId="5EA1F269" w14:textId="77777777" w:rsidR="00154A2B" w:rsidRDefault="00154A2B" w:rsidP="00154A2B">
      <w:pPr>
        <w:numPr>
          <w:ilvl w:val="0"/>
          <w:numId w:val="41"/>
        </w:numPr>
        <w:spacing w:after="0"/>
        <w:rPr>
          <w:rFonts w:eastAsia="Times New Roman"/>
        </w:rPr>
      </w:pPr>
      <w:r>
        <w:rPr>
          <w:rFonts w:eastAsia="Times New Roman"/>
        </w:rPr>
        <w:lastRenderedPageBreak/>
        <w:t>Rel-14 feature on HARQ-ACK bundling in HD-FDD in CE mode A</w:t>
      </w:r>
    </w:p>
    <w:p w14:paraId="05DD9A10" w14:textId="77777777" w:rsidR="00154A2B" w:rsidRDefault="00154A2B" w:rsidP="00154A2B">
      <w:pPr>
        <w:numPr>
          <w:ilvl w:val="0"/>
          <w:numId w:val="41"/>
        </w:numPr>
        <w:spacing w:after="0"/>
        <w:rPr>
          <w:rFonts w:eastAsia="Times New Roman"/>
        </w:rPr>
      </w:pPr>
      <w:r>
        <w:rPr>
          <w:rFonts w:eastAsia="Times New Roman"/>
        </w:rPr>
        <w:t>Rel-14 features for 5 or 20 MHz max PDSCH/PUSCH channel bandwidths in CE mode A/B</w:t>
      </w:r>
    </w:p>
    <w:p w14:paraId="216C0B37" w14:textId="77777777" w:rsidR="00154A2B" w:rsidRDefault="00154A2B" w:rsidP="00154A2B">
      <w:pPr>
        <w:numPr>
          <w:ilvl w:val="0"/>
          <w:numId w:val="41"/>
        </w:numPr>
        <w:spacing w:after="0"/>
        <w:rPr>
          <w:rFonts w:eastAsia="Times New Roman"/>
        </w:rPr>
      </w:pPr>
      <w:r>
        <w:rPr>
          <w:rFonts w:eastAsia="Times New Roman"/>
        </w:rPr>
        <w:t>Rel-14 feature for 10 downlink HARQ processes in FDD in CE mode A</w:t>
      </w:r>
    </w:p>
    <w:p w14:paraId="48F707AF" w14:textId="77777777" w:rsidR="00154A2B" w:rsidRDefault="00154A2B" w:rsidP="00154A2B">
      <w:pPr>
        <w:numPr>
          <w:ilvl w:val="0"/>
          <w:numId w:val="41"/>
        </w:numPr>
        <w:spacing w:after="0"/>
        <w:rPr>
          <w:rFonts w:eastAsia="Times New Roman"/>
        </w:rPr>
      </w:pPr>
      <w:r>
        <w:rPr>
          <w:rFonts w:eastAsia="Times New Roman"/>
        </w:rPr>
        <w:t>Rel-14 feature for dynamic HARQ-ACK delay for HD-FDD in CE mode A</w:t>
      </w:r>
    </w:p>
    <w:p w14:paraId="47EEA216" w14:textId="77777777" w:rsidR="00154A2B" w:rsidRDefault="00154A2B" w:rsidP="00154A2B">
      <w:pPr>
        <w:numPr>
          <w:ilvl w:val="0"/>
          <w:numId w:val="41"/>
        </w:numPr>
        <w:spacing w:after="0"/>
        <w:rPr>
          <w:rFonts w:eastAsia="Times New Roman"/>
        </w:rPr>
      </w:pPr>
      <w:r>
        <w:rPr>
          <w:rFonts w:eastAsia="Times New Roman"/>
        </w:rPr>
        <w:t>Rel-15 features for flexible starting PRB for PDSCH/PUSCH in CE mode A/B</w:t>
      </w:r>
    </w:p>
    <w:p w14:paraId="28CCF3D8" w14:textId="77777777" w:rsidR="00154A2B" w:rsidRDefault="00154A2B" w:rsidP="00154A2B">
      <w:pPr>
        <w:numPr>
          <w:ilvl w:val="0"/>
          <w:numId w:val="41"/>
        </w:numPr>
        <w:spacing w:after="0"/>
        <w:rPr>
          <w:rFonts w:eastAsia="Times New Roman"/>
        </w:rPr>
      </w:pPr>
      <w:r>
        <w:rPr>
          <w:rFonts w:eastAsia="Times New Roman"/>
        </w:rPr>
        <w:t>Rel-15 feature for PUSCH sub-PRB allocation in CE mode A/B</w:t>
      </w:r>
    </w:p>
    <w:p w14:paraId="59B374BE" w14:textId="77777777" w:rsidR="00154A2B" w:rsidRDefault="00154A2B" w:rsidP="00154A2B">
      <w:pPr>
        <w:numPr>
          <w:ilvl w:val="0"/>
          <w:numId w:val="41"/>
        </w:numPr>
        <w:spacing w:after="0"/>
        <w:rPr>
          <w:rFonts w:eastAsia="Times New Roman"/>
        </w:rPr>
      </w:pPr>
      <w:r>
        <w:rPr>
          <w:rFonts w:eastAsia="Times New Roman"/>
        </w:rPr>
        <w:t>Rel-15 feature for 64QAM for non-repeated unicast PDSCH in CE mode A</w:t>
      </w:r>
    </w:p>
    <w:p w14:paraId="54927D9B" w14:textId="77777777" w:rsidR="00154A2B" w:rsidRDefault="00154A2B" w:rsidP="00154A2B">
      <w:pPr>
        <w:numPr>
          <w:ilvl w:val="0"/>
          <w:numId w:val="41"/>
        </w:numPr>
        <w:spacing w:after="0"/>
        <w:rPr>
          <w:rFonts w:eastAsia="Times New Roman"/>
        </w:rPr>
      </w:pPr>
      <w:r>
        <w:rPr>
          <w:rFonts w:eastAsia="Times New Roman"/>
        </w:rPr>
        <w:t>Rel-15 feature for uplink HARQ-ACK feedback in DCI in CE mode A/B</w:t>
      </w:r>
    </w:p>
    <w:p w14:paraId="7766C8DA" w14:textId="229B177E" w:rsidR="00154A2B" w:rsidRDefault="00154A2B" w:rsidP="002D4F72">
      <w:pPr>
        <w:rPr>
          <w:rFonts w:eastAsia="MS Mincho"/>
        </w:rPr>
      </w:pPr>
    </w:p>
    <w:p w14:paraId="32E0F69F" w14:textId="125B61D6" w:rsidR="00154A2B" w:rsidRDefault="00154A2B" w:rsidP="002D4F72">
      <w:pPr>
        <w:rPr>
          <w:rFonts w:eastAsia="MS Mincho"/>
        </w:rPr>
      </w:pPr>
      <w:r>
        <w:rPr>
          <w:rFonts w:eastAsia="MS Mincho"/>
        </w:rPr>
        <w:t xml:space="preserve">Our views on which features can be configured alongside MTBG are given in </w:t>
      </w:r>
      <w:r w:rsidR="00D03C4C">
        <w:rPr>
          <w:rFonts w:eastAsia="MS Mincho"/>
        </w:rPr>
        <w:fldChar w:fldCharType="begin"/>
      </w:r>
      <w:r w:rsidR="00D03C4C">
        <w:rPr>
          <w:rFonts w:eastAsia="MS Mincho"/>
        </w:rPr>
        <w:instrText xml:space="preserve"> REF _Ref7799704 \h </w:instrText>
      </w:r>
      <w:r w:rsidR="00D03C4C">
        <w:rPr>
          <w:rFonts w:eastAsia="MS Mincho"/>
        </w:rPr>
      </w:r>
      <w:r w:rsidR="00D03C4C">
        <w:rPr>
          <w:rFonts w:eastAsia="MS Mincho"/>
        </w:rPr>
        <w:fldChar w:fldCharType="separate"/>
      </w:r>
      <w:r w:rsidR="00502D2F">
        <w:t xml:space="preserve">Table </w:t>
      </w:r>
      <w:r w:rsidR="00502D2F">
        <w:rPr>
          <w:noProof/>
        </w:rPr>
        <w:t>2</w:t>
      </w:r>
      <w:r w:rsidR="00D03C4C">
        <w:rPr>
          <w:rFonts w:eastAsia="MS Mincho"/>
        </w:rPr>
        <w:fldChar w:fldCharType="end"/>
      </w:r>
      <w:r>
        <w:rPr>
          <w:rFonts w:eastAsia="MS Mincho"/>
        </w:rPr>
        <w:t>.</w:t>
      </w:r>
    </w:p>
    <w:p w14:paraId="77E0F5F5" w14:textId="21B55D8D" w:rsidR="00D03C4C" w:rsidRDefault="00D03C4C" w:rsidP="00D03C4C">
      <w:pPr>
        <w:pStyle w:val="Caption"/>
        <w:jc w:val="center"/>
        <w:rPr>
          <w:rFonts w:eastAsia="MS Mincho"/>
        </w:rPr>
      </w:pPr>
      <w:bookmarkStart w:id="12" w:name="_Ref7799704"/>
      <w:r>
        <w:t xml:space="preserve">Table </w:t>
      </w:r>
      <w:r w:rsidR="00CE2663">
        <w:fldChar w:fldCharType="begin"/>
      </w:r>
      <w:r w:rsidR="00CE2663">
        <w:instrText xml:space="preserve"> SEQ Table \* ARABIC </w:instrText>
      </w:r>
      <w:r w:rsidR="00CE2663">
        <w:fldChar w:fldCharType="separate"/>
      </w:r>
      <w:r w:rsidR="00502D2F">
        <w:rPr>
          <w:noProof/>
        </w:rPr>
        <w:t>2</w:t>
      </w:r>
      <w:r w:rsidR="00CE2663">
        <w:rPr>
          <w:noProof/>
        </w:rPr>
        <w:fldChar w:fldCharType="end"/>
      </w:r>
      <w:bookmarkEnd w:id="12"/>
      <w:r>
        <w:t xml:space="preserve"> – Features that can be configured alongside MTBG</w:t>
      </w:r>
    </w:p>
    <w:tbl>
      <w:tblPr>
        <w:tblStyle w:val="TableGrid"/>
        <w:tblW w:w="10491" w:type="dxa"/>
        <w:tblInd w:w="-431" w:type="dxa"/>
        <w:tblLook w:val="04A0" w:firstRow="1" w:lastRow="0" w:firstColumn="1" w:lastColumn="0" w:noHBand="0" w:noVBand="1"/>
      </w:tblPr>
      <w:tblGrid>
        <w:gridCol w:w="3716"/>
        <w:gridCol w:w="4790"/>
        <w:gridCol w:w="1985"/>
      </w:tblGrid>
      <w:tr w:rsidR="00154A2B" w:rsidRPr="00246E52" w14:paraId="2627A667" w14:textId="77777777" w:rsidTr="00246E52">
        <w:tc>
          <w:tcPr>
            <w:tcW w:w="3716" w:type="dxa"/>
            <w:shd w:val="clear" w:color="auto" w:fill="D9D9D9" w:themeFill="background1" w:themeFillShade="D9"/>
          </w:tcPr>
          <w:p w14:paraId="7DDF5C71" w14:textId="4FA5EDA8" w:rsidR="00154A2B" w:rsidRPr="00246E52" w:rsidRDefault="00154A2B" w:rsidP="002D4F72">
            <w:pPr>
              <w:rPr>
                <w:rFonts w:ascii="Arial" w:eastAsia="MS Mincho" w:hAnsi="Arial" w:cs="Arial"/>
                <w:b/>
                <w:sz w:val="20"/>
              </w:rPr>
            </w:pPr>
            <w:r w:rsidRPr="00246E52">
              <w:rPr>
                <w:rFonts w:ascii="Arial" w:eastAsia="MS Mincho" w:hAnsi="Arial" w:cs="Arial"/>
                <w:b/>
                <w:sz w:val="20"/>
              </w:rPr>
              <w:t>Feature</w:t>
            </w:r>
          </w:p>
        </w:tc>
        <w:tc>
          <w:tcPr>
            <w:tcW w:w="4790" w:type="dxa"/>
            <w:shd w:val="clear" w:color="auto" w:fill="D9D9D9" w:themeFill="background1" w:themeFillShade="D9"/>
          </w:tcPr>
          <w:p w14:paraId="7CEA6045" w14:textId="1787C697" w:rsidR="00154A2B" w:rsidRPr="00246E52" w:rsidRDefault="00154A2B" w:rsidP="002D4F72">
            <w:pPr>
              <w:rPr>
                <w:rFonts w:ascii="Arial" w:eastAsia="MS Mincho" w:hAnsi="Arial" w:cs="Arial"/>
                <w:b/>
                <w:sz w:val="20"/>
              </w:rPr>
            </w:pPr>
            <w:r w:rsidRPr="00246E52">
              <w:rPr>
                <w:rFonts w:ascii="Arial" w:eastAsia="MS Mincho" w:hAnsi="Arial" w:cs="Arial"/>
                <w:b/>
                <w:sz w:val="20"/>
              </w:rPr>
              <w:t>Comment</w:t>
            </w:r>
          </w:p>
        </w:tc>
        <w:tc>
          <w:tcPr>
            <w:tcW w:w="1985" w:type="dxa"/>
            <w:shd w:val="clear" w:color="auto" w:fill="D9D9D9" w:themeFill="background1" w:themeFillShade="D9"/>
          </w:tcPr>
          <w:p w14:paraId="467C35C5" w14:textId="590682FA" w:rsidR="00154A2B" w:rsidRPr="00246E52" w:rsidRDefault="00154A2B" w:rsidP="002D4F72">
            <w:pPr>
              <w:rPr>
                <w:rFonts w:ascii="Arial" w:eastAsia="MS Mincho" w:hAnsi="Arial" w:cs="Arial"/>
                <w:b/>
                <w:sz w:val="20"/>
              </w:rPr>
            </w:pPr>
            <w:r w:rsidRPr="00246E52">
              <w:rPr>
                <w:rFonts w:ascii="Arial" w:eastAsia="MS Mincho" w:hAnsi="Arial" w:cs="Arial"/>
                <w:b/>
                <w:sz w:val="20"/>
              </w:rPr>
              <w:t>Supported with MTBG?</w:t>
            </w:r>
          </w:p>
        </w:tc>
      </w:tr>
      <w:tr w:rsidR="00154A2B" w14:paraId="4B7B6920" w14:textId="77777777" w:rsidTr="00881FF7">
        <w:tc>
          <w:tcPr>
            <w:tcW w:w="3716" w:type="dxa"/>
          </w:tcPr>
          <w:p w14:paraId="5A277D1B" w14:textId="3E01B216" w:rsidR="00154A2B" w:rsidRPr="00A521CA" w:rsidRDefault="00881FF7" w:rsidP="002D4F72">
            <w:pPr>
              <w:rPr>
                <w:rFonts w:eastAsia="MS Mincho"/>
                <w:sz w:val="20"/>
              </w:rPr>
            </w:pPr>
            <w:r w:rsidRPr="00A521CA">
              <w:rPr>
                <w:rFonts w:eastAsia="MS Mincho"/>
                <w:sz w:val="20"/>
              </w:rPr>
              <w:t>New numbers of REP for PUSCH / modulation restrictions</w:t>
            </w:r>
          </w:p>
        </w:tc>
        <w:tc>
          <w:tcPr>
            <w:tcW w:w="4790" w:type="dxa"/>
          </w:tcPr>
          <w:p w14:paraId="37F75DC9" w14:textId="2B62FEDE" w:rsidR="00154A2B" w:rsidRPr="00A521CA" w:rsidRDefault="00881FF7" w:rsidP="002D4F72">
            <w:pPr>
              <w:rPr>
                <w:rFonts w:eastAsia="MS Mincho"/>
                <w:sz w:val="20"/>
              </w:rPr>
            </w:pPr>
            <w:r w:rsidRPr="00A521CA">
              <w:rPr>
                <w:rFonts w:eastAsia="MS Mincho"/>
                <w:sz w:val="20"/>
              </w:rPr>
              <w:t xml:space="preserve">This feature was targeted at VoLTE, which does not seem to be a main motivation for MTBG </w:t>
            </w:r>
          </w:p>
        </w:tc>
        <w:tc>
          <w:tcPr>
            <w:tcW w:w="1985" w:type="dxa"/>
          </w:tcPr>
          <w:p w14:paraId="27D5ADDB" w14:textId="27568504" w:rsidR="00154A2B" w:rsidRPr="00A521CA" w:rsidRDefault="00881FF7" w:rsidP="002D4F72">
            <w:pPr>
              <w:rPr>
                <w:rFonts w:eastAsia="MS Mincho"/>
                <w:sz w:val="20"/>
              </w:rPr>
            </w:pPr>
            <w:r w:rsidRPr="00A521CA">
              <w:rPr>
                <w:rFonts w:eastAsia="MS Mincho"/>
                <w:sz w:val="20"/>
              </w:rPr>
              <w:t>No</w:t>
            </w:r>
          </w:p>
        </w:tc>
      </w:tr>
      <w:tr w:rsidR="00154A2B" w14:paraId="557E35A8" w14:textId="77777777" w:rsidTr="00881FF7">
        <w:tc>
          <w:tcPr>
            <w:tcW w:w="3716" w:type="dxa"/>
          </w:tcPr>
          <w:p w14:paraId="587CBDCD" w14:textId="2DA7B138" w:rsidR="00154A2B" w:rsidRPr="00A521CA" w:rsidRDefault="00881FF7" w:rsidP="002D4F72">
            <w:pPr>
              <w:rPr>
                <w:rFonts w:eastAsia="MS Mincho"/>
                <w:sz w:val="20"/>
              </w:rPr>
            </w:pPr>
            <w:proofErr w:type="gramStart"/>
            <w:r w:rsidRPr="00A521CA">
              <w:rPr>
                <w:rFonts w:eastAsia="MS Mincho"/>
                <w:sz w:val="20"/>
              </w:rPr>
              <w:t>2984 bit</w:t>
            </w:r>
            <w:proofErr w:type="gramEnd"/>
            <w:r w:rsidRPr="00A521CA">
              <w:rPr>
                <w:rFonts w:eastAsia="MS Mincho"/>
                <w:sz w:val="20"/>
              </w:rPr>
              <w:t xml:space="preserve"> UL TBS</w:t>
            </w:r>
          </w:p>
        </w:tc>
        <w:tc>
          <w:tcPr>
            <w:tcW w:w="4790" w:type="dxa"/>
          </w:tcPr>
          <w:p w14:paraId="448A3EC2" w14:textId="3B9A9A96" w:rsidR="00154A2B" w:rsidRPr="00A521CA" w:rsidRDefault="00881FF7" w:rsidP="002D4F72">
            <w:pPr>
              <w:rPr>
                <w:rFonts w:eastAsia="MS Mincho"/>
                <w:sz w:val="20"/>
              </w:rPr>
            </w:pPr>
            <w:r w:rsidRPr="00A521CA">
              <w:rPr>
                <w:rFonts w:eastAsia="MS Mincho"/>
                <w:sz w:val="20"/>
              </w:rPr>
              <w:t>Maximises UL throughput in good channel conditions. Increasing throughput is in-line with MTBG objectives</w:t>
            </w:r>
          </w:p>
        </w:tc>
        <w:tc>
          <w:tcPr>
            <w:tcW w:w="1985" w:type="dxa"/>
          </w:tcPr>
          <w:p w14:paraId="069677CA" w14:textId="1DC5C20C" w:rsidR="00154A2B" w:rsidRPr="00A521CA" w:rsidRDefault="00881FF7" w:rsidP="002D4F72">
            <w:pPr>
              <w:rPr>
                <w:rFonts w:eastAsia="MS Mincho"/>
                <w:sz w:val="20"/>
              </w:rPr>
            </w:pPr>
            <w:r w:rsidRPr="00A521CA">
              <w:rPr>
                <w:rFonts w:eastAsia="MS Mincho"/>
                <w:sz w:val="20"/>
              </w:rPr>
              <w:t>Yes</w:t>
            </w:r>
          </w:p>
        </w:tc>
      </w:tr>
      <w:tr w:rsidR="00154A2B" w14:paraId="5BCE5A29" w14:textId="77777777" w:rsidTr="00881FF7">
        <w:tc>
          <w:tcPr>
            <w:tcW w:w="3716" w:type="dxa"/>
          </w:tcPr>
          <w:p w14:paraId="65DD4D7D" w14:textId="18D362EE" w:rsidR="00154A2B" w:rsidRPr="00A521CA" w:rsidRDefault="00881FF7" w:rsidP="002D4F72">
            <w:pPr>
              <w:rPr>
                <w:rFonts w:eastAsia="MS Mincho"/>
                <w:sz w:val="20"/>
              </w:rPr>
            </w:pPr>
            <w:r w:rsidRPr="00A521CA">
              <w:rPr>
                <w:rFonts w:eastAsia="MS Mincho"/>
                <w:sz w:val="20"/>
              </w:rPr>
              <w:t>HARQ A/N bundling in CE Mode A</w:t>
            </w:r>
          </w:p>
        </w:tc>
        <w:tc>
          <w:tcPr>
            <w:tcW w:w="4790" w:type="dxa"/>
          </w:tcPr>
          <w:p w14:paraId="75F29DFB" w14:textId="6C96591D" w:rsidR="00154A2B" w:rsidRPr="00A521CA" w:rsidRDefault="00881FF7" w:rsidP="002D4F72">
            <w:pPr>
              <w:rPr>
                <w:rFonts w:eastAsia="MS Mincho"/>
                <w:sz w:val="20"/>
              </w:rPr>
            </w:pPr>
            <w:r w:rsidRPr="00A521CA">
              <w:rPr>
                <w:rFonts w:eastAsia="MS Mincho"/>
                <w:sz w:val="20"/>
              </w:rPr>
              <w:t>MTBG will have to support its own HARQ A/N bundling scheme. It is not clear that this can be the same scheme as for Rel-14</w:t>
            </w:r>
          </w:p>
        </w:tc>
        <w:tc>
          <w:tcPr>
            <w:tcW w:w="1985" w:type="dxa"/>
          </w:tcPr>
          <w:p w14:paraId="77A3A3C3" w14:textId="231EEA22" w:rsidR="00154A2B" w:rsidRPr="00A521CA" w:rsidRDefault="00881FF7" w:rsidP="002D4F72">
            <w:pPr>
              <w:rPr>
                <w:rFonts w:eastAsia="MS Mincho"/>
                <w:sz w:val="20"/>
              </w:rPr>
            </w:pPr>
            <w:r w:rsidRPr="00A521CA">
              <w:rPr>
                <w:rFonts w:eastAsia="MS Mincho"/>
                <w:sz w:val="20"/>
              </w:rPr>
              <w:t xml:space="preserve">Rel-14 scheme not </w:t>
            </w:r>
            <w:r w:rsidR="00246E52" w:rsidRPr="00A521CA">
              <w:rPr>
                <w:rFonts w:eastAsia="MS Mincho"/>
                <w:sz w:val="20"/>
              </w:rPr>
              <w:t xml:space="preserve">necessarily </w:t>
            </w:r>
            <w:r w:rsidRPr="00A521CA">
              <w:rPr>
                <w:rFonts w:eastAsia="MS Mincho"/>
                <w:sz w:val="20"/>
              </w:rPr>
              <w:t xml:space="preserve">supported, but MTBG </w:t>
            </w:r>
            <w:r w:rsidR="00246E52" w:rsidRPr="00A521CA">
              <w:rPr>
                <w:rFonts w:eastAsia="MS Mincho"/>
                <w:sz w:val="20"/>
              </w:rPr>
              <w:t>will</w:t>
            </w:r>
            <w:r w:rsidRPr="00A521CA">
              <w:rPr>
                <w:rFonts w:eastAsia="MS Mincho"/>
                <w:sz w:val="20"/>
              </w:rPr>
              <w:t xml:space="preserve"> support bundling</w:t>
            </w:r>
          </w:p>
        </w:tc>
      </w:tr>
      <w:tr w:rsidR="00154A2B" w14:paraId="25A8DD23" w14:textId="77777777" w:rsidTr="00881FF7">
        <w:tc>
          <w:tcPr>
            <w:tcW w:w="3716" w:type="dxa"/>
          </w:tcPr>
          <w:p w14:paraId="1665CD82" w14:textId="3B5547B0" w:rsidR="00154A2B" w:rsidRPr="00A521CA" w:rsidRDefault="00881FF7" w:rsidP="002D4F72">
            <w:pPr>
              <w:rPr>
                <w:rFonts w:eastAsia="MS Mincho"/>
                <w:sz w:val="20"/>
              </w:rPr>
            </w:pPr>
            <w:r w:rsidRPr="00A521CA">
              <w:rPr>
                <w:rFonts w:eastAsia="MS Mincho"/>
                <w:sz w:val="20"/>
              </w:rPr>
              <w:t>5 / 20MHz channel bandwidths</w:t>
            </w:r>
          </w:p>
        </w:tc>
        <w:tc>
          <w:tcPr>
            <w:tcW w:w="4790" w:type="dxa"/>
          </w:tcPr>
          <w:p w14:paraId="5A89BC4E" w14:textId="67ADCD79" w:rsidR="00154A2B" w:rsidRPr="00A521CA" w:rsidRDefault="00881FF7" w:rsidP="002D4F72">
            <w:pPr>
              <w:rPr>
                <w:rFonts w:eastAsia="MS Mincho"/>
                <w:sz w:val="20"/>
              </w:rPr>
            </w:pPr>
            <w:r w:rsidRPr="00A521CA">
              <w:rPr>
                <w:rFonts w:eastAsia="MS Mincho"/>
                <w:sz w:val="20"/>
              </w:rPr>
              <w:t>MTBG should be applicable to these bandwidths to maximise throughput</w:t>
            </w:r>
          </w:p>
        </w:tc>
        <w:tc>
          <w:tcPr>
            <w:tcW w:w="1985" w:type="dxa"/>
          </w:tcPr>
          <w:p w14:paraId="7109F27F" w14:textId="4A9F5F4E" w:rsidR="00154A2B" w:rsidRPr="00A521CA" w:rsidRDefault="00881FF7" w:rsidP="002D4F72">
            <w:pPr>
              <w:rPr>
                <w:rFonts w:eastAsia="MS Mincho"/>
                <w:sz w:val="20"/>
              </w:rPr>
            </w:pPr>
            <w:r w:rsidRPr="00A521CA">
              <w:rPr>
                <w:rFonts w:eastAsia="MS Mincho"/>
                <w:sz w:val="20"/>
              </w:rPr>
              <w:t>Yes</w:t>
            </w:r>
          </w:p>
        </w:tc>
      </w:tr>
      <w:tr w:rsidR="00154A2B" w14:paraId="2355134D" w14:textId="77777777" w:rsidTr="00881FF7">
        <w:tc>
          <w:tcPr>
            <w:tcW w:w="3716" w:type="dxa"/>
          </w:tcPr>
          <w:p w14:paraId="5A3849E0" w14:textId="21154657" w:rsidR="00154A2B" w:rsidRPr="00A521CA" w:rsidRDefault="00881FF7" w:rsidP="002D4F72">
            <w:pPr>
              <w:rPr>
                <w:rFonts w:eastAsia="MS Mincho"/>
                <w:sz w:val="20"/>
              </w:rPr>
            </w:pPr>
            <w:r w:rsidRPr="00A521CA">
              <w:rPr>
                <w:rFonts w:eastAsia="MS Mincho"/>
                <w:sz w:val="20"/>
              </w:rPr>
              <w:t>10 DL HARQ processes</w:t>
            </w:r>
          </w:p>
        </w:tc>
        <w:tc>
          <w:tcPr>
            <w:tcW w:w="4790" w:type="dxa"/>
          </w:tcPr>
          <w:p w14:paraId="3C76FF20" w14:textId="292B41B2" w:rsidR="00154A2B" w:rsidRPr="00A521CA" w:rsidRDefault="00224002" w:rsidP="002D4F72">
            <w:pPr>
              <w:rPr>
                <w:rFonts w:eastAsia="MS Mincho"/>
                <w:sz w:val="20"/>
              </w:rPr>
            </w:pPr>
            <w:r w:rsidRPr="00A521CA">
              <w:rPr>
                <w:rFonts w:eastAsia="MS Mincho"/>
                <w:sz w:val="20"/>
              </w:rPr>
              <w:t>MTBG supports up to 8 transport blocks. We do not see the benefit of optimisations to support 2 “orphan” HARQ processes</w:t>
            </w:r>
          </w:p>
        </w:tc>
        <w:tc>
          <w:tcPr>
            <w:tcW w:w="1985" w:type="dxa"/>
          </w:tcPr>
          <w:p w14:paraId="3C2645EB" w14:textId="15C62F63" w:rsidR="00154A2B" w:rsidRPr="00A521CA" w:rsidRDefault="00224002" w:rsidP="002D4F72">
            <w:pPr>
              <w:rPr>
                <w:rFonts w:eastAsia="MS Mincho"/>
                <w:sz w:val="20"/>
              </w:rPr>
            </w:pPr>
            <w:r w:rsidRPr="00A521CA">
              <w:rPr>
                <w:rFonts w:eastAsia="MS Mincho"/>
                <w:sz w:val="20"/>
              </w:rPr>
              <w:t>No</w:t>
            </w:r>
          </w:p>
        </w:tc>
      </w:tr>
      <w:tr w:rsidR="00154A2B" w14:paraId="04518C5C" w14:textId="77777777" w:rsidTr="00881FF7">
        <w:tc>
          <w:tcPr>
            <w:tcW w:w="3716" w:type="dxa"/>
          </w:tcPr>
          <w:p w14:paraId="11D23D07" w14:textId="1EA106EE" w:rsidR="00154A2B" w:rsidRPr="00A521CA" w:rsidRDefault="00224002" w:rsidP="002D4F72">
            <w:pPr>
              <w:rPr>
                <w:rFonts w:eastAsia="MS Mincho"/>
                <w:sz w:val="20"/>
              </w:rPr>
            </w:pPr>
            <w:r w:rsidRPr="00A521CA">
              <w:rPr>
                <w:rFonts w:eastAsia="MS Mincho"/>
                <w:sz w:val="20"/>
              </w:rPr>
              <w:t>Dynamic HARQ-ACK delay</w:t>
            </w:r>
          </w:p>
        </w:tc>
        <w:tc>
          <w:tcPr>
            <w:tcW w:w="4790" w:type="dxa"/>
          </w:tcPr>
          <w:p w14:paraId="497BF708" w14:textId="132014EC" w:rsidR="00154A2B" w:rsidRPr="00A521CA" w:rsidRDefault="00224002" w:rsidP="002D4F72">
            <w:pPr>
              <w:rPr>
                <w:rFonts w:eastAsia="MS Mincho"/>
                <w:sz w:val="20"/>
              </w:rPr>
            </w:pPr>
            <w:r w:rsidRPr="00A521CA">
              <w:rPr>
                <w:rFonts w:eastAsia="MS Mincho"/>
                <w:sz w:val="20"/>
              </w:rPr>
              <w:t>A feature targeted at VoLTE</w:t>
            </w:r>
            <w:r w:rsidR="00246E52" w:rsidRPr="00A521CA">
              <w:rPr>
                <w:rFonts w:eastAsia="MS Mincho"/>
                <w:sz w:val="20"/>
              </w:rPr>
              <w:t>,</w:t>
            </w:r>
            <w:r w:rsidRPr="00A521CA">
              <w:rPr>
                <w:rFonts w:eastAsia="MS Mincho"/>
                <w:sz w:val="20"/>
              </w:rPr>
              <w:t xml:space="preserve"> which does not seem to be a main motivation for MTBG. It might be necessary to specify new HARQ-ACK delay relationships for MTBG, but these do not necessarily follow the Rel-14 scheme</w:t>
            </w:r>
          </w:p>
        </w:tc>
        <w:tc>
          <w:tcPr>
            <w:tcW w:w="1985" w:type="dxa"/>
          </w:tcPr>
          <w:p w14:paraId="33C0BE4E" w14:textId="7DA946B4" w:rsidR="00154A2B" w:rsidRPr="00A521CA" w:rsidRDefault="00224002" w:rsidP="002D4F72">
            <w:pPr>
              <w:rPr>
                <w:rFonts w:eastAsia="MS Mincho"/>
                <w:sz w:val="20"/>
              </w:rPr>
            </w:pPr>
            <w:r w:rsidRPr="00A521CA">
              <w:rPr>
                <w:rFonts w:eastAsia="MS Mincho"/>
                <w:sz w:val="20"/>
              </w:rPr>
              <w:t>No</w:t>
            </w:r>
          </w:p>
        </w:tc>
      </w:tr>
      <w:tr w:rsidR="00154A2B" w14:paraId="7A0236B0" w14:textId="77777777" w:rsidTr="00881FF7">
        <w:tc>
          <w:tcPr>
            <w:tcW w:w="3716" w:type="dxa"/>
          </w:tcPr>
          <w:p w14:paraId="4782469D" w14:textId="658F1E1B" w:rsidR="00154A2B" w:rsidRPr="00A521CA" w:rsidRDefault="00224002" w:rsidP="002D4F72">
            <w:pPr>
              <w:rPr>
                <w:rFonts w:eastAsia="MS Mincho"/>
                <w:sz w:val="20"/>
              </w:rPr>
            </w:pPr>
            <w:r w:rsidRPr="00A521CA">
              <w:rPr>
                <w:rFonts w:eastAsia="MS Mincho"/>
                <w:sz w:val="20"/>
              </w:rPr>
              <w:t>Flexible starting PRB</w:t>
            </w:r>
          </w:p>
        </w:tc>
        <w:tc>
          <w:tcPr>
            <w:tcW w:w="4790" w:type="dxa"/>
          </w:tcPr>
          <w:p w14:paraId="6BDBE0C8" w14:textId="349FC171" w:rsidR="00154A2B" w:rsidRPr="00A521CA" w:rsidRDefault="00224002" w:rsidP="002D4F72">
            <w:pPr>
              <w:rPr>
                <w:rFonts w:eastAsia="MS Mincho"/>
                <w:sz w:val="20"/>
              </w:rPr>
            </w:pPr>
            <w:r w:rsidRPr="00A521CA">
              <w:rPr>
                <w:rFonts w:eastAsia="MS Mincho"/>
                <w:sz w:val="20"/>
              </w:rPr>
              <w:t>It should be possible to align MTBG transmissions with RBG for other UEs, so flexible starting PRB should be supported</w:t>
            </w:r>
          </w:p>
        </w:tc>
        <w:tc>
          <w:tcPr>
            <w:tcW w:w="1985" w:type="dxa"/>
          </w:tcPr>
          <w:p w14:paraId="6D4B3A23" w14:textId="2265C201" w:rsidR="00224002" w:rsidRPr="00A521CA" w:rsidRDefault="00224002" w:rsidP="002D4F72">
            <w:pPr>
              <w:rPr>
                <w:rFonts w:eastAsia="MS Mincho"/>
                <w:sz w:val="20"/>
              </w:rPr>
            </w:pPr>
            <w:r w:rsidRPr="00A521CA">
              <w:rPr>
                <w:rFonts w:eastAsia="MS Mincho"/>
                <w:sz w:val="20"/>
              </w:rPr>
              <w:t>Yes</w:t>
            </w:r>
          </w:p>
        </w:tc>
      </w:tr>
      <w:tr w:rsidR="00224002" w14:paraId="10992FEA" w14:textId="77777777" w:rsidTr="00881FF7">
        <w:tc>
          <w:tcPr>
            <w:tcW w:w="3716" w:type="dxa"/>
          </w:tcPr>
          <w:p w14:paraId="484534E2" w14:textId="4A0250DF" w:rsidR="00224002" w:rsidRPr="00A521CA" w:rsidRDefault="00224002" w:rsidP="002D4F72">
            <w:pPr>
              <w:rPr>
                <w:rFonts w:eastAsia="MS Mincho"/>
                <w:sz w:val="20"/>
              </w:rPr>
            </w:pPr>
            <w:r w:rsidRPr="00A521CA">
              <w:rPr>
                <w:rFonts w:eastAsia="MS Mincho"/>
                <w:sz w:val="20"/>
              </w:rPr>
              <w:t>Sub-PRB PUSCH</w:t>
            </w:r>
          </w:p>
        </w:tc>
        <w:tc>
          <w:tcPr>
            <w:tcW w:w="4790" w:type="dxa"/>
          </w:tcPr>
          <w:p w14:paraId="220A9D71" w14:textId="778E7E16" w:rsidR="00224002" w:rsidRPr="00A521CA" w:rsidRDefault="00224002" w:rsidP="002D4F72">
            <w:pPr>
              <w:rPr>
                <w:rFonts w:eastAsia="MS Mincho"/>
                <w:sz w:val="20"/>
              </w:rPr>
            </w:pPr>
            <w:r w:rsidRPr="00A521CA">
              <w:rPr>
                <w:rFonts w:eastAsia="MS Mincho"/>
                <w:sz w:val="20"/>
              </w:rPr>
              <w:t>One of the goals of sub-PRB PUSCH was to increase spectral efficiency, which is also a motivation for MTBG, so sub-PRB for PUSCH should be supported</w:t>
            </w:r>
          </w:p>
        </w:tc>
        <w:tc>
          <w:tcPr>
            <w:tcW w:w="1985" w:type="dxa"/>
          </w:tcPr>
          <w:p w14:paraId="0C46BBA4" w14:textId="12D1C9E2" w:rsidR="00224002" w:rsidRPr="00A521CA" w:rsidRDefault="00224002" w:rsidP="002D4F72">
            <w:pPr>
              <w:rPr>
                <w:rFonts w:eastAsia="MS Mincho"/>
                <w:sz w:val="20"/>
              </w:rPr>
            </w:pPr>
            <w:r w:rsidRPr="00A521CA">
              <w:rPr>
                <w:rFonts w:eastAsia="MS Mincho"/>
                <w:sz w:val="20"/>
              </w:rPr>
              <w:t>Yes</w:t>
            </w:r>
          </w:p>
        </w:tc>
      </w:tr>
      <w:tr w:rsidR="00224002" w14:paraId="2510801E" w14:textId="77777777" w:rsidTr="00881FF7">
        <w:tc>
          <w:tcPr>
            <w:tcW w:w="3716" w:type="dxa"/>
          </w:tcPr>
          <w:p w14:paraId="7F685B16" w14:textId="1B505F83" w:rsidR="00224002" w:rsidRPr="00A521CA" w:rsidRDefault="00224002" w:rsidP="002D4F72">
            <w:pPr>
              <w:rPr>
                <w:rFonts w:eastAsia="MS Mincho"/>
                <w:sz w:val="20"/>
              </w:rPr>
            </w:pPr>
            <w:r w:rsidRPr="00A521CA">
              <w:rPr>
                <w:rFonts w:eastAsia="MS Mincho"/>
                <w:sz w:val="20"/>
              </w:rPr>
              <w:t>64QAM in DL</w:t>
            </w:r>
          </w:p>
        </w:tc>
        <w:tc>
          <w:tcPr>
            <w:tcW w:w="4790" w:type="dxa"/>
          </w:tcPr>
          <w:p w14:paraId="617B5C18" w14:textId="20B33BDB" w:rsidR="00224002" w:rsidRPr="00A521CA" w:rsidRDefault="00224002" w:rsidP="002D4F72">
            <w:pPr>
              <w:rPr>
                <w:rFonts w:eastAsia="MS Mincho"/>
                <w:sz w:val="20"/>
              </w:rPr>
            </w:pPr>
            <w:r w:rsidRPr="00A521CA">
              <w:rPr>
                <w:rFonts w:eastAsia="MS Mincho"/>
                <w:sz w:val="20"/>
              </w:rPr>
              <w:t>64QAM transmissions lead to higher spectral efficiency, which is consistent with MTBG</w:t>
            </w:r>
          </w:p>
        </w:tc>
        <w:tc>
          <w:tcPr>
            <w:tcW w:w="1985" w:type="dxa"/>
          </w:tcPr>
          <w:p w14:paraId="5488F449" w14:textId="3C3875AD" w:rsidR="00224002" w:rsidRPr="00A521CA" w:rsidRDefault="00224002" w:rsidP="002D4F72">
            <w:pPr>
              <w:rPr>
                <w:rFonts w:eastAsia="MS Mincho"/>
                <w:sz w:val="20"/>
              </w:rPr>
            </w:pPr>
            <w:r w:rsidRPr="00A521CA">
              <w:rPr>
                <w:rFonts w:eastAsia="MS Mincho"/>
                <w:sz w:val="20"/>
              </w:rPr>
              <w:t>Yes</w:t>
            </w:r>
          </w:p>
        </w:tc>
      </w:tr>
      <w:tr w:rsidR="00D03C4C" w14:paraId="494C4363" w14:textId="77777777" w:rsidTr="00881FF7">
        <w:tc>
          <w:tcPr>
            <w:tcW w:w="3716" w:type="dxa"/>
          </w:tcPr>
          <w:p w14:paraId="69BFFA7C" w14:textId="1D624CC3" w:rsidR="00D03C4C" w:rsidRPr="00A521CA" w:rsidRDefault="00D03C4C" w:rsidP="002D4F72">
            <w:pPr>
              <w:rPr>
                <w:rFonts w:eastAsia="MS Mincho"/>
                <w:sz w:val="20"/>
              </w:rPr>
            </w:pPr>
            <w:r w:rsidRPr="00A521CA">
              <w:rPr>
                <w:rFonts w:eastAsia="MS Mincho"/>
                <w:sz w:val="20"/>
              </w:rPr>
              <w:t>UL HARQ A/N feedback in DCI</w:t>
            </w:r>
          </w:p>
        </w:tc>
        <w:tc>
          <w:tcPr>
            <w:tcW w:w="4790" w:type="dxa"/>
          </w:tcPr>
          <w:p w14:paraId="04F95F89" w14:textId="7F2325FD" w:rsidR="00D03C4C" w:rsidRPr="00A521CA" w:rsidRDefault="00D03C4C" w:rsidP="002D4F72">
            <w:pPr>
              <w:rPr>
                <w:rFonts w:eastAsia="MS Mincho"/>
                <w:sz w:val="20"/>
              </w:rPr>
            </w:pPr>
            <w:r w:rsidRPr="00A521CA">
              <w:rPr>
                <w:rFonts w:eastAsia="MS Mincho"/>
                <w:sz w:val="20"/>
              </w:rPr>
              <w:t>Supports early termination. MTBG should also support early termination schemes to reduce power consumption.</w:t>
            </w:r>
          </w:p>
        </w:tc>
        <w:tc>
          <w:tcPr>
            <w:tcW w:w="1985" w:type="dxa"/>
          </w:tcPr>
          <w:p w14:paraId="6DD2C13D" w14:textId="3D4F0D6C" w:rsidR="00D03C4C" w:rsidRPr="00A521CA" w:rsidRDefault="00D03C4C" w:rsidP="002D4F72">
            <w:pPr>
              <w:rPr>
                <w:rFonts w:eastAsia="MS Mincho"/>
                <w:sz w:val="20"/>
              </w:rPr>
            </w:pPr>
            <w:r w:rsidRPr="00A521CA">
              <w:rPr>
                <w:rFonts w:eastAsia="MS Mincho"/>
                <w:sz w:val="20"/>
              </w:rPr>
              <w:t>Yes</w:t>
            </w:r>
          </w:p>
        </w:tc>
      </w:tr>
    </w:tbl>
    <w:p w14:paraId="2448F524" w14:textId="3529340D" w:rsidR="00154A2B" w:rsidRDefault="00154A2B" w:rsidP="002D4F72">
      <w:pPr>
        <w:rPr>
          <w:rFonts w:eastAsia="MS Mincho"/>
        </w:rPr>
      </w:pPr>
    </w:p>
    <w:p w14:paraId="08BE9C1C" w14:textId="7ABB3300" w:rsidR="00246E52" w:rsidRPr="00246E52" w:rsidRDefault="00246E52" w:rsidP="002D4F72">
      <w:pPr>
        <w:rPr>
          <w:rFonts w:eastAsia="MS Mincho"/>
          <w:b/>
        </w:rPr>
      </w:pPr>
      <w:r w:rsidRPr="00246E52">
        <w:rPr>
          <w:rFonts w:eastAsia="MS Mincho"/>
          <w:b/>
        </w:rPr>
        <w:t xml:space="preserve">Proposal </w:t>
      </w:r>
      <w:r w:rsidR="00022326">
        <w:rPr>
          <w:rFonts w:eastAsia="MS Mincho"/>
          <w:b/>
        </w:rPr>
        <w:t>8</w:t>
      </w:r>
      <w:r w:rsidRPr="00246E52">
        <w:rPr>
          <w:rFonts w:eastAsia="MS Mincho"/>
          <w:b/>
        </w:rPr>
        <w:t>. The following features could be configured to work alongside the MTBG feature:</w:t>
      </w:r>
    </w:p>
    <w:p w14:paraId="2E3C5D52" w14:textId="77777777" w:rsidR="00246E52" w:rsidRPr="00246E52" w:rsidRDefault="00246E52" w:rsidP="00246E52">
      <w:pPr>
        <w:numPr>
          <w:ilvl w:val="0"/>
          <w:numId w:val="41"/>
        </w:numPr>
        <w:spacing w:after="0"/>
        <w:rPr>
          <w:rFonts w:eastAsia="Times New Roman"/>
          <w:b/>
        </w:rPr>
      </w:pPr>
      <w:r w:rsidRPr="00246E52">
        <w:rPr>
          <w:rFonts w:eastAsia="Times New Roman"/>
          <w:b/>
        </w:rPr>
        <w:t>Rel-14 feature for 2984 bits max UL TBS in 1.4 MHz in CE mode A</w:t>
      </w:r>
    </w:p>
    <w:p w14:paraId="6DC08297" w14:textId="77777777" w:rsidR="00246E52" w:rsidRPr="00246E52" w:rsidRDefault="00246E52" w:rsidP="00246E52">
      <w:pPr>
        <w:numPr>
          <w:ilvl w:val="0"/>
          <w:numId w:val="41"/>
        </w:numPr>
        <w:spacing w:after="0"/>
        <w:rPr>
          <w:rFonts w:eastAsia="Times New Roman"/>
          <w:b/>
        </w:rPr>
      </w:pPr>
      <w:r w:rsidRPr="00246E52">
        <w:rPr>
          <w:rFonts w:eastAsia="Times New Roman"/>
          <w:b/>
        </w:rPr>
        <w:t>Rel-14 features for 5 or 20 MHz max PDSCH/PUSCH channel bandwidths in CE mode A/B</w:t>
      </w:r>
    </w:p>
    <w:p w14:paraId="7ABC38B5" w14:textId="77777777" w:rsidR="00246E52" w:rsidRPr="00246E52" w:rsidRDefault="00246E52" w:rsidP="00246E52">
      <w:pPr>
        <w:numPr>
          <w:ilvl w:val="0"/>
          <w:numId w:val="41"/>
        </w:numPr>
        <w:spacing w:after="0"/>
        <w:rPr>
          <w:rFonts w:eastAsia="Times New Roman"/>
          <w:b/>
        </w:rPr>
      </w:pPr>
      <w:r w:rsidRPr="00246E52">
        <w:rPr>
          <w:rFonts w:eastAsia="Times New Roman"/>
          <w:b/>
        </w:rPr>
        <w:t>Rel-15 features for flexible starting PRB for PDSCH/PUSCH in CE mode A/B</w:t>
      </w:r>
    </w:p>
    <w:p w14:paraId="21D860BB" w14:textId="77777777" w:rsidR="00246E52" w:rsidRPr="00246E52" w:rsidRDefault="00246E52" w:rsidP="00246E52">
      <w:pPr>
        <w:numPr>
          <w:ilvl w:val="0"/>
          <w:numId w:val="41"/>
        </w:numPr>
        <w:spacing w:after="0"/>
        <w:rPr>
          <w:rFonts w:eastAsia="Times New Roman"/>
          <w:b/>
        </w:rPr>
      </w:pPr>
      <w:r w:rsidRPr="00246E52">
        <w:rPr>
          <w:rFonts w:eastAsia="Times New Roman"/>
          <w:b/>
        </w:rPr>
        <w:t>Rel-15 feature for PUSCH sub-PRB allocation in CE mode A/B</w:t>
      </w:r>
    </w:p>
    <w:p w14:paraId="0503ABD8" w14:textId="77777777" w:rsidR="00246E52" w:rsidRPr="00246E52" w:rsidRDefault="00246E52" w:rsidP="00246E52">
      <w:pPr>
        <w:numPr>
          <w:ilvl w:val="0"/>
          <w:numId w:val="41"/>
        </w:numPr>
        <w:spacing w:after="0"/>
        <w:rPr>
          <w:rFonts w:eastAsia="Times New Roman"/>
          <w:b/>
        </w:rPr>
      </w:pPr>
      <w:r w:rsidRPr="00246E52">
        <w:rPr>
          <w:rFonts w:eastAsia="Times New Roman"/>
          <w:b/>
        </w:rPr>
        <w:t>Rel-15 feature for 64QAM for non-repeated unicast PDSCH in CE mode A</w:t>
      </w:r>
    </w:p>
    <w:p w14:paraId="78E44300" w14:textId="77777777" w:rsidR="00246E52" w:rsidRPr="00246E52" w:rsidRDefault="00246E52" w:rsidP="00246E52">
      <w:pPr>
        <w:numPr>
          <w:ilvl w:val="0"/>
          <w:numId w:val="41"/>
        </w:numPr>
        <w:spacing w:after="0"/>
        <w:rPr>
          <w:rFonts w:eastAsia="Times New Roman"/>
          <w:b/>
        </w:rPr>
      </w:pPr>
      <w:r w:rsidRPr="00246E52">
        <w:rPr>
          <w:rFonts w:eastAsia="Times New Roman"/>
          <w:b/>
        </w:rPr>
        <w:t>Rel-15 feature for uplink HARQ-ACK feedback in DCI in CE mode A/B</w:t>
      </w:r>
    </w:p>
    <w:p w14:paraId="66DDD5DE" w14:textId="77777777" w:rsidR="00246E52" w:rsidRPr="00154A2B" w:rsidRDefault="00246E52" w:rsidP="002D4F72">
      <w:pPr>
        <w:rPr>
          <w:rFonts w:eastAsia="MS Mincho"/>
        </w:rPr>
      </w:pPr>
    </w:p>
    <w:p w14:paraId="052DBC2D" w14:textId="44376350" w:rsidR="00855F39" w:rsidRDefault="002C286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t>Summary of Proposals</w:t>
      </w:r>
    </w:p>
    <w:p w14:paraId="4698BDE6" w14:textId="2F6C427E" w:rsidR="00855F39" w:rsidRDefault="002C2869" w:rsidP="00855F39">
      <w:r>
        <w:t>This contribution has considered the scheduling of multiple DL / UL transport blocks and makes the following proposals:</w:t>
      </w:r>
    </w:p>
    <w:p w14:paraId="105E0E46" w14:textId="77777777" w:rsidR="002D2D61" w:rsidRDefault="002D2D61" w:rsidP="002D2D61">
      <w:pPr>
        <w:rPr>
          <w:b/>
          <w:lang w:val="en-US"/>
        </w:rPr>
      </w:pPr>
      <w:r w:rsidRPr="00792E00">
        <w:rPr>
          <w:b/>
          <w:lang w:val="en-US"/>
        </w:rPr>
        <w:t xml:space="preserve">Proposal </w:t>
      </w:r>
      <w:r>
        <w:rPr>
          <w:b/>
          <w:lang w:val="en-US"/>
        </w:rPr>
        <w:t>1:</w:t>
      </w:r>
      <w:r w:rsidRPr="00792E00">
        <w:rPr>
          <w:b/>
          <w:lang w:val="en-US"/>
        </w:rPr>
        <w:t xml:space="preserve"> </w:t>
      </w:r>
      <w:r>
        <w:rPr>
          <w:b/>
          <w:lang w:val="en-US"/>
        </w:rPr>
        <w:t>Confirm the working assumption:</w:t>
      </w:r>
    </w:p>
    <w:p w14:paraId="03564988" w14:textId="77777777" w:rsidR="002D2D61" w:rsidRPr="00DC0D2D" w:rsidRDefault="002D2D61" w:rsidP="002D2D61">
      <w:pPr>
        <w:pStyle w:val="Proposal"/>
        <w:overflowPunct/>
        <w:autoSpaceDE/>
        <w:adjustRightInd/>
        <w:spacing w:after="0"/>
        <w:ind w:left="0" w:firstLine="0"/>
        <w:jc w:val="left"/>
        <w:rPr>
          <w:rFonts w:cs="Arial"/>
          <w:b w:val="0"/>
          <w:i/>
        </w:rPr>
      </w:pPr>
      <w:r w:rsidRPr="00DC0D2D">
        <w:rPr>
          <w:rFonts w:cs="Arial"/>
          <w:b w:val="0"/>
          <w:i/>
        </w:rPr>
        <w:t xml:space="preserve">For unicast, </w:t>
      </w:r>
      <w:r w:rsidRPr="00DC0D2D">
        <w:rPr>
          <w:b w:val="0"/>
          <w:i/>
        </w:rPr>
        <w:t>scheduling</w:t>
      </w:r>
      <w:r w:rsidRPr="00DC0D2D">
        <w:rPr>
          <w:rFonts w:cs="Arial"/>
          <w:b w:val="0"/>
          <w:i/>
        </w:rPr>
        <w:t xml:space="preserve"> gaps for multiple transport blocks is supported and a scheduling gap can be configured by [RRC and/or DCI]</w:t>
      </w:r>
    </w:p>
    <w:p w14:paraId="204F9F6E" w14:textId="77777777" w:rsidR="002D2D61" w:rsidRPr="00DC0D2D" w:rsidRDefault="002D2D61" w:rsidP="002D2D61">
      <w:pPr>
        <w:numPr>
          <w:ilvl w:val="0"/>
          <w:numId w:val="45"/>
        </w:numPr>
        <w:spacing w:after="0"/>
        <w:ind w:left="1440"/>
        <w:rPr>
          <w:i/>
        </w:rPr>
      </w:pPr>
      <w:r w:rsidRPr="00DC0D2D">
        <w:rPr>
          <w:i/>
          <w:lang w:val="en-US"/>
        </w:rPr>
        <w:t>The</w:t>
      </w:r>
      <w:r w:rsidRPr="00DC0D2D">
        <w:rPr>
          <w:i/>
        </w:rPr>
        <w:t xml:space="preserve"> support of scheduling gaps is UE optional feature regardless of the support of multiple TBs</w:t>
      </w:r>
    </w:p>
    <w:p w14:paraId="29A3FB34" w14:textId="77777777" w:rsidR="002D2D61" w:rsidRDefault="002D2D61" w:rsidP="002D2D61">
      <w:pPr>
        <w:numPr>
          <w:ilvl w:val="0"/>
          <w:numId w:val="45"/>
        </w:numPr>
        <w:spacing w:after="0"/>
        <w:ind w:left="1440"/>
      </w:pPr>
      <w:r w:rsidRPr="00DC0D2D">
        <w:rPr>
          <w:i/>
        </w:rPr>
        <w:t>FFS: Details on the scheduling gap such as duration, applicability, etc</w:t>
      </w:r>
      <w:r>
        <w:t>.</w:t>
      </w:r>
    </w:p>
    <w:p w14:paraId="673FA9B2" w14:textId="0948FC06" w:rsidR="002D2D61" w:rsidRDefault="002D2D61" w:rsidP="00855F39"/>
    <w:p w14:paraId="233ABA4F" w14:textId="77777777" w:rsidR="002D2D61" w:rsidRPr="00F11865" w:rsidRDefault="002D2D61" w:rsidP="002D2D61">
      <w:pPr>
        <w:rPr>
          <w:b/>
          <w:lang w:val="en-US"/>
        </w:rPr>
      </w:pPr>
      <w:r w:rsidRPr="00F11865">
        <w:rPr>
          <w:b/>
          <w:lang w:val="en-US"/>
        </w:rPr>
        <w:t>Proposal 2: MTBG scheduling gaps are configured by RRC.</w:t>
      </w:r>
    </w:p>
    <w:p w14:paraId="6D62A8FC" w14:textId="77777777" w:rsidR="002D2D61" w:rsidRDefault="002D2D61" w:rsidP="002D2D61">
      <w:pPr>
        <w:rPr>
          <w:b/>
          <w:lang w:val="en-US"/>
        </w:rPr>
      </w:pPr>
      <w:r w:rsidRPr="00F11865">
        <w:rPr>
          <w:b/>
          <w:lang w:val="en-US"/>
        </w:rPr>
        <w:t xml:space="preserve">Proposal </w:t>
      </w:r>
      <w:r>
        <w:rPr>
          <w:b/>
          <w:lang w:val="en-US"/>
        </w:rPr>
        <w:t>3</w:t>
      </w:r>
      <w:r w:rsidRPr="00F11865">
        <w:rPr>
          <w:b/>
          <w:lang w:val="en-US"/>
        </w:rPr>
        <w:t xml:space="preserve">: </w:t>
      </w:r>
      <w:r>
        <w:rPr>
          <w:b/>
          <w:lang w:val="en-US"/>
        </w:rPr>
        <w:t>RRC signaling configures the following aspects of MTBG scheduling gaps:</w:t>
      </w:r>
    </w:p>
    <w:p w14:paraId="7CF9B890" w14:textId="77777777" w:rsidR="002D2D61" w:rsidRDefault="002D2D61" w:rsidP="002D2D61">
      <w:pPr>
        <w:pStyle w:val="ListParagraph"/>
        <w:numPr>
          <w:ilvl w:val="0"/>
          <w:numId w:val="47"/>
        </w:numPr>
        <w:rPr>
          <w:b/>
          <w:lang w:val="en-US"/>
        </w:rPr>
      </w:pPr>
      <w:r>
        <w:rPr>
          <w:b/>
          <w:lang w:val="en-US"/>
        </w:rPr>
        <w:t>Duration of scheduling gap</w:t>
      </w:r>
    </w:p>
    <w:p w14:paraId="132A779B" w14:textId="77777777" w:rsidR="002D2D61" w:rsidRDefault="002D2D61" w:rsidP="002D2D61">
      <w:pPr>
        <w:pStyle w:val="ListParagraph"/>
        <w:numPr>
          <w:ilvl w:val="0"/>
          <w:numId w:val="47"/>
        </w:numPr>
        <w:rPr>
          <w:b/>
          <w:lang w:val="en-US"/>
        </w:rPr>
      </w:pPr>
      <w:r>
        <w:rPr>
          <w:b/>
          <w:lang w:val="en-US"/>
        </w:rPr>
        <w:t>Number of subframes of MTBG transmission before a scheduling gap is inserted</w:t>
      </w:r>
    </w:p>
    <w:p w14:paraId="4FF91F83" w14:textId="52D6F379" w:rsidR="002D2D61" w:rsidRPr="00473228" w:rsidRDefault="002D2D61" w:rsidP="00855F39">
      <w:pPr>
        <w:pStyle w:val="ListParagraph"/>
        <w:numPr>
          <w:ilvl w:val="0"/>
          <w:numId w:val="47"/>
        </w:numPr>
        <w:rPr>
          <w:b/>
          <w:lang w:val="en-US"/>
        </w:rPr>
      </w:pPr>
      <w:r>
        <w:rPr>
          <w:b/>
          <w:lang w:val="en-US"/>
        </w:rPr>
        <w:t>Time offset of scheduling gap</w:t>
      </w:r>
    </w:p>
    <w:p w14:paraId="594B812F" w14:textId="77777777" w:rsidR="002D2D61" w:rsidRDefault="002D2D61" w:rsidP="002D2D61">
      <w:pPr>
        <w:rPr>
          <w:b/>
          <w:lang w:val="en-US"/>
        </w:rPr>
      </w:pPr>
      <w:r w:rsidRPr="00F11865">
        <w:rPr>
          <w:b/>
          <w:lang w:val="en-US"/>
        </w:rPr>
        <w:t xml:space="preserve">Proposal </w:t>
      </w:r>
      <w:r>
        <w:rPr>
          <w:b/>
          <w:lang w:val="en-US"/>
        </w:rPr>
        <w:t>4</w:t>
      </w:r>
      <w:r w:rsidRPr="00F11865">
        <w:rPr>
          <w:b/>
          <w:lang w:val="en-US"/>
        </w:rPr>
        <w:t xml:space="preserve">: </w:t>
      </w:r>
      <w:r>
        <w:rPr>
          <w:b/>
          <w:lang w:val="en-US"/>
        </w:rPr>
        <w:t>During the scheduling gap, an MPDCCH can early terminate an MTBG transmission.</w:t>
      </w:r>
    </w:p>
    <w:p w14:paraId="01B53DEE" w14:textId="77777777" w:rsidR="002D2D61" w:rsidRDefault="002D2D61" w:rsidP="002D2D61">
      <w:pPr>
        <w:pStyle w:val="Caption"/>
      </w:pPr>
      <w:r>
        <w:t xml:space="preserve">Proposal 5. For an MTBG transmission, when the UE signals ACK for a HARQ process and the NDI bit is not toggled when that HARQ process is subsequently used, the UE understands that no data is transmitted in that HARQ process. </w:t>
      </w:r>
    </w:p>
    <w:p w14:paraId="519E9A18" w14:textId="77777777" w:rsidR="002D2D61" w:rsidRDefault="002D2D61" w:rsidP="002D2D61">
      <w:pPr>
        <w:rPr>
          <w:bCs/>
          <w:noProof/>
          <w:lang w:val="en-US" w:eastAsia="en-GB"/>
        </w:rPr>
      </w:pPr>
      <w:r w:rsidRPr="00657549">
        <w:rPr>
          <w:b/>
          <w:bCs/>
          <w:noProof/>
          <w:lang w:val="en-US" w:eastAsia="en-GB"/>
        </w:rPr>
        <w:t xml:space="preserve">Proposal </w:t>
      </w:r>
      <w:r>
        <w:rPr>
          <w:b/>
          <w:bCs/>
          <w:noProof/>
          <w:lang w:val="en-US" w:eastAsia="en-GB"/>
        </w:rPr>
        <w:t>6</w:t>
      </w:r>
      <w:r w:rsidRPr="00657549">
        <w:rPr>
          <w:b/>
          <w:bCs/>
          <w:noProof/>
          <w:lang w:val="en-US" w:eastAsia="en-GB"/>
        </w:rPr>
        <w:t>: HARQ bundling is supported for CE Mode B for the MTBG feature</w:t>
      </w:r>
      <w:r>
        <w:rPr>
          <w:bCs/>
          <w:noProof/>
          <w:lang w:val="en-US" w:eastAsia="en-GB"/>
        </w:rPr>
        <w:t>.</w:t>
      </w:r>
    </w:p>
    <w:p w14:paraId="5709C6DB" w14:textId="77777777" w:rsidR="002D2D61" w:rsidRDefault="002D2D61" w:rsidP="002D2D61">
      <w:pPr>
        <w:rPr>
          <w:bCs/>
          <w:noProof/>
          <w:lang w:val="en-US" w:eastAsia="en-GB"/>
        </w:rPr>
      </w:pPr>
      <w:r w:rsidRPr="00964810">
        <w:rPr>
          <w:b/>
          <w:bCs/>
          <w:noProof/>
          <w:lang w:val="en-US" w:eastAsia="en-GB"/>
        </w:rPr>
        <w:t xml:space="preserve">Proposal </w:t>
      </w:r>
      <w:r>
        <w:rPr>
          <w:b/>
          <w:bCs/>
          <w:noProof/>
          <w:lang w:val="en-US" w:eastAsia="en-GB"/>
        </w:rPr>
        <w:t>7</w:t>
      </w:r>
      <w:r w:rsidRPr="00964810">
        <w:rPr>
          <w:b/>
          <w:bCs/>
          <w:noProof/>
          <w:lang w:val="en-US" w:eastAsia="en-GB"/>
        </w:rPr>
        <w:t>: The maximum HARQ bundle size is 4</w:t>
      </w:r>
      <w:r>
        <w:rPr>
          <w:bCs/>
          <w:noProof/>
          <w:lang w:val="en-US" w:eastAsia="en-GB"/>
        </w:rPr>
        <w:t>.</w:t>
      </w:r>
    </w:p>
    <w:p w14:paraId="1763589F" w14:textId="7F483F69" w:rsidR="002D2D61" w:rsidRPr="002D2D61" w:rsidRDefault="002D2D61" w:rsidP="00855F39">
      <w:pPr>
        <w:rPr>
          <w:b/>
          <w:bCs/>
          <w:noProof/>
          <w:lang w:val="en-US" w:eastAsia="en-GB"/>
        </w:rPr>
      </w:pPr>
      <w:r w:rsidRPr="00CA5461">
        <w:rPr>
          <w:b/>
          <w:bCs/>
          <w:noProof/>
          <w:lang w:val="en-US" w:eastAsia="en-GB"/>
        </w:rPr>
        <w:t xml:space="preserve">Proposal </w:t>
      </w:r>
      <w:r>
        <w:rPr>
          <w:b/>
          <w:bCs/>
          <w:noProof/>
          <w:lang w:val="en-US" w:eastAsia="en-GB"/>
        </w:rPr>
        <w:t>8</w:t>
      </w:r>
      <w:r w:rsidRPr="00CA5461">
        <w:rPr>
          <w:b/>
          <w:bCs/>
          <w:noProof/>
          <w:lang w:val="en-US" w:eastAsia="en-GB"/>
        </w:rPr>
        <w:t>: When a</w:t>
      </w:r>
      <w:r w:rsidRPr="00360B15">
        <w:rPr>
          <w:b/>
          <w:bCs/>
          <w:noProof/>
          <w:lang w:val="en-US" w:eastAsia="en-GB"/>
        </w:rPr>
        <w:t xml:space="preserve"> HARQ-bundled NACK is transmitted, individual PUCCH are transmitted following that HARQ-bundled NACK, indicating the ACK / NACK status of individual PDSCH transport blocks.</w:t>
      </w:r>
    </w:p>
    <w:p w14:paraId="79939F8E" w14:textId="77777777"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t>References</w:t>
      </w:r>
    </w:p>
    <w:p w14:paraId="2F5D00AD" w14:textId="56EF334E" w:rsidR="007271F6" w:rsidRDefault="00855F39" w:rsidP="008F4664">
      <w:pPr>
        <w:ind w:left="567" w:hanging="567"/>
      </w:pPr>
      <w:r>
        <w:t xml:space="preserve">[1] </w:t>
      </w:r>
      <w:r w:rsidR="008F4664">
        <w:tab/>
      </w:r>
      <w:r w:rsidR="002B6A9E">
        <w:t>R1-190</w:t>
      </w:r>
      <w:r w:rsidR="00C85EDD">
        <w:t>7630</w:t>
      </w:r>
      <w:r w:rsidR="002B6A9E">
        <w:t>, “</w:t>
      </w:r>
      <w:r w:rsidR="00DB0C2A" w:rsidRPr="00DB0C2A">
        <w:t>RAN1 agreements for Rel-16 Additional MTC Enhancements for LTE</w:t>
      </w:r>
      <w:r w:rsidR="002B6A9E">
        <w:t>”</w:t>
      </w:r>
      <w:r w:rsidR="00DB0C2A">
        <w:t>.</w:t>
      </w:r>
      <w:r w:rsidR="002B6A9E">
        <w:t xml:space="preserve"> </w:t>
      </w:r>
      <w:r w:rsidR="00DB0C2A">
        <w:t>WI rapporteur (Ericsson)</w:t>
      </w:r>
      <w:r w:rsidR="002B6A9E">
        <w:t>, RAN1#</w:t>
      </w:r>
      <w:r w:rsidR="00C85EDD">
        <w:t>97</w:t>
      </w:r>
      <w:r w:rsidR="008F4664">
        <w:t xml:space="preserve">, </w:t>
      </w:r>
      <w:r w:rsidR="00C85EDD">
        <w:t>Reno</w:t>
      </w:r>
      <w:r w:rsidR="008F4664">
        <w:t xml:space="preserve">, </w:t>
      </w:r>
      <w:r w:rsidR="00C85EDD">
        <w:t>May</w:t>
      </w:r>
      <w:r w:rsidR="008F4664">
        <w:t xml:space="preserve"> 2019</w:t>
      </w:r>
      <w:r w:rsidR="00DB0C2A">
        <w:t>.</w:t>
      </w:r>
    </w:p>
    <w:p w14:paraId="69BE876E" w14:textId="3C147E94" w:rsidR="00296551" w:rsidRDefault="00296551" w:rsidP="008F4664">
      <w:pPr>
        <w:ind w:left="567" w:hanging="567"/>
      </w:pPr>
      <w:r>
        <w:t>[</w:t>
      </w:r>
      <w:r w:rsidR="00D3198E">
        <w:t>2</w:t>
      </w:r>
      <w:r>
        <w:t>]</w:t>
      </w:r>
      <w:r>
        <w:tab/>
        <w:t>R1-1904231. “On scheduling multiple DL / UL transport blocks”. Sony. RAN1#96bis, Xian. April 2019.</w:t>
      </w:r>
    </w:p>
    <w:p w14:paraId="20B92FDE" w14:textId="39FD0E25" w:rsidR="00DC0D2D" w:rsidRDefault="00812031" w:rsidP="00DC0D2D">
      <w:pPr>
        <w:ind w:left="567" w:hanging="567"/>
      </w:pPr>
      <w:r>
        <w:t>[</w:t>
      </w:r>
      <w:r w:rsidR="00D3198E">
        <w:t>3</w:t>
      </w:r>
      <w:r>
        <w:t>]</w:t>
      </w:r>
      <w:r w:rsidR="00DC0D2D">
        <w:tab/>
        <w:t>R1-1907189. “</w:t>
      </w:r>
      <w:r w:rsidR="00D3198E">
        <w:t>On scheduling multiple DL / UL transport blocks</w:t>
      </w:r>
      <w:r w:rsidR="00DC0D2D">
        <w:t>”. Sony. RAN1#97, Reno. May 2019.</w:t>
      </w:r>
    </w:p>
    <w:p w14:paraId="75A1A8DB" w14:textId="347251CF" w:rsidR="00812031" w:rsidRDefault="00812031" w:rsidP="008F4664">
      <w:pPr>
        <w:ind w:left="567" w:hanging="567"/>
      </w:pPr>
    </w:p>
    <w:p w14:paraId="092E06FC" w14:textId="77777777" w:rsidR="00134BC2" w:rsidRPr="00134BC2" w:rsidRDefault="00134BC2" w:rsidP="008F4664">
      <w:pPr>
        <w:ind w:left="567" w:hanging="567"/>
        <w:rPr>
          <w:lang w:val="en-US"/>
        </w:rPr>
      </w:pPr>
    </w:p>
    <w:p w14:paraId="1DEFAA84" w14:textId="77777777" w:rsidR="007271F6" w:rsidRDefault="007271F6" w:rsidP="00855F39"/>
    <w:sectPr w:rsidR="007271F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DD7689" w14:textId="77777777" w:rsidR="00CE2663" w:rsidRDefault="00CE2663">
      <w:r>
        <w:separator/>
      </w:r>
    </w:p>
  </w:endnote>
  <w:endnote w:type="continuationSeparator" w:id="0">
    <w:p w14:paraId="764B90A1" w14:textId="77777777" w:rsidR="00CE2663" w:rsidRDefault="00CE2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502AD6" w14:textId="77777777" w:rsidR="00CE2663" w:rsidRDefault="00CE2663">
      <w:r>
        <w:separator/>
      </w:r>
    </w:p>
  </w:footnote>
  <w:footnote w:type="continuationSeparator" w:id="0">
    <w:p w14:paraId="49014B03" w14:textId="77777777" w:rsidR="00CE2663" w:rsidRDefault="00CE26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8844DA6"/>
    <w:multiLevelType w:val="hybridMultilevel"/>
    <w:tmpl w:val="FB6E5C26"/>
    <w:lvl w:ilvl="0" w:tplc="5F7EE998">
      <w:start w:val="1"/>
      <w:numFmt w:val="bullet"/>
      <w:lvlText w:val="-"/>
      <w:lvlJc w:val="left"/>
      <w:pPr>
        <w:ind w:left="720" w:hanging="360"/>
      </w:pPr>
      <w:rPr>
        <w:rFonts w:ascii="Arial" w:eastAsia="Times New Roman" w:hAnsi="Arial" w:cs="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B31670"/>
    <w:multiLevelType w:val="hybridMultilevel"/>
    <w:tmpl w:val="80DCD924"/>
    <w:lvl w:ilvl="0" w:tplc="08090011">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4" w15:restartNumberingAfterBreak="0">
    <w:nsid w:val="165021C3"/>
    <w:multiLevelType w:val="hybridMultilevel"/>
    <w:tmpl w:val="8872228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EEC6BFD"/>
    <w:multiLevelType w:val="hybridMultilevel"/>
    <w:tmpl w:val="429A9A48"/>
    <w:lvl w:ilvl="0" w:tplc="3D6E1B48">
      <w:start w:val="1"/>
      <w:numFmt w:val="bullet"/>
      <w:lvlText w:val="-"/>
      <w:lvlJc w:val="left"/>
      <w:pPr>
        <w:ind w:left="720" w:hanging="360"/>
      </w:pPr>
      <w:rPr>
        <w:rFonts w:ascii="Arial" w:eastAsia="Times New Roman" w:hAnsi="Arial" w:cs="Symbol" w:hint="default"/>
      </w:rPr>
    </w:lvl>
    <w:lvl w:ilvl="1" w:tplc="08090003">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110C9F"/>
    <w:multiLevelType w:val="hybridMultilevel"/>
    <w:tmpl w:val="6F101B6E"/>
    <w:lvl w:ilvl="0" w:tplc="3E10521C">
      <w:start w:val="2"/>
      <w:numFmt w:val="bullet"/>
      <w:lvlText w:val=""/>
      <w:lvlJc w:val="left"/>
      <w:pPr>
        <w:ind w:left="1080" w:hanging="360"/>
      </w:pPr>
      <w:rPr>
        <w:rFonts w:ascii="Wingdings" w:eastAsia="MS Mincho" w:hAnsi="Wingdings"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06C0262"/>
    <w:multiLevelType w:val="hybridMultilevel"/>
    <w:tmpl w:val="93A0D89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2109194A"/>
    <w:multiLevelType w:val="hybridMultilevel"/>
    <w:tmpl w:val="D3F84C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Aria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Arial"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AA3BDC"/>
    <w:multiLevelType w:val="hybridMultilevel"/>
    <w:tmpl w:val="4AF8A0A4"/>
    <w:lvl w:ilvl="0" w:tplc="08090001">
      <w:start w:val="1"/>
      <w:numFmt w:val="bullet"/>
      <w:lvlText w:val=""/>
      <w:lvlJc w:val="left"/>
      <w:pPr>
        <w:ind w:left="885" w:hanging="360"/>
      </w:pPr>
      <w:rPr>
        <w:rFonts w:ascii="Symbol" w:hAnsi="Symbol" w:hint="default"/>
      </w:rPr>
    </w:lvl>
    <w:lvl w:ilvl="1" w:tplc="08090003" w:tentative="1">
      <w:start w:val="1"/>
      <w:numFmt w:val="bullet"/>
      <w:lvlText w:val="o"/>
      <w:lvlJc w:val="left"/>
      <w:pPr>
        <w:ind w:left="1605" w:hanging="360"/>
      </w:pPr>
      <w:rPr>
        <w:rFonts w:ascii="Courier New" w:hAnsi="Courier New" w:cs="Courier New" w:hint="default"/>
      </w:rPr>
    </w:lvl>
    <w:lvl w:ilvl="2" w:tplc="08090005" w:tentative="1">
      <w:start w:val="1"/>
      <w:numFmt w:val="bullet"/>
      <w:lvlText w:val=""/>
      <w:lvlJc w:val="left"/>
      <w:pPr>
        <w:ind w:left="2325" w:hanging="360"/>
      </w:pPr>
      <w:rPr>
        <w:rFonts w:ascii="Wingdings" w:hAnsi="Wingdings" w:hint="default"/>
      </w:rPr>
    </w:lvl>
    <w:lvl w:ilvl="3" w:tplc="08090001" w:tentative="1">
      <w:start w:val="1"/>
      <w:numFmt w:val="bullet"/>
      <w:lvlText w:val=""/>
      <w:lvlJc w:val="left"/>
      <w:pPr>
        <w:ind w:left="3045" w:hanging="360"/>
      </w:pPr>
      <w:rPr>
        <w:rFonts w:ascii="Symbol" w:hAnsi="Symbol" w:hint="default"/>
      </w:rPr>
    </w:lvl>
    <w:lvl w:ilvl="4" w:tplc="08090003" w:tentative="1">
      <w:start w:val="1"/>
      <w:numFmt w:val="bullet"/>
      <w:lvlText w:val="o"/>
      <w:lvlJc w:val="left"/>
      <w:pPr>
        <w:ind w:left="3765" w:hanging="360"/>
      </w:pPr>
      <w:rPr>
        <w:rFonts w:ascii="Courier New" w:hAnsi="Courier New" w:cs="Courier New" w:hint="default"/>
      </w:rPr>
    </w:lvl>
    <w:lvl w:ilvl="5" w:tplc="08090005" w:tentative="1">
      <w:start w:val="1"/>
      <w:numFmt w:val="bullet"/>
      <w:lvlText w:val=""/>
      <w:lvlJc w:val="left"/>
      <w:pPr>
        <w:ind w:left="4485" w:hanging="360"/>
      </w:pPr>
      <w:rPr>
        <w:rFonts w:ascii="Wingdings" w:hAnsi="Wingdings" w:hint="default"/>
      </w:rPr>
    </w:lvl>
    <w:lvl w:ilvl="6" w:tplc="08090001" w:tentative="1">
      <w:start w:val="1"/>
      <w:numFmt w:val="bullet"/>
      <w:lvlText w:val=""/>
      <w:lvlJc w:val="left"/>
      <w:pPr>
        <w:ind w:left="5205" w:hanging="360"/>
      </w:pPr>
      <w:rPr>
        <w:rFonts w:ascii="Symbol" w:hAnsi="Symbol" w:hint="default"/>
      </w:rPr>
    </w:lvl>
    <w:lvl w:ilvl="7" w:tplc="08090003" w:tentative="1">
      <w:start w:val="1"/>
      <w:numFmt w:val="bullet"/>
      <w:lvlText w:val="o"/>
      <w:lvlJc w:val="left"/>
      <w:pPr>
        <w:ind w:left="5925" w:hanging="360"/>
      </w:pPr>
      <w:rPr>
        <w:rFonts w:ascii="Courier New" w:hAnsi="Courier New" w:cs="Courier New" w:hint="default"/>
      </w:rPr>
    </w:lvl>
    <w:lvl w:ilvl="8" w:tplc="08090005" w:tentative="1">
      <w:start w:val="1"/>
      <w:numFmt w:val="bullet"/>
      <w:lvlText w:val=""/>
      <w:lvlJc w:val="left"/>
      <w:pPr>
        <w:ind w:left="6645" w:hanging="360"/>
      </w:pPr>
      <w:rPr>
        <w:rFonts w:ascii="Wingdings" w:hAnsi="Wingdings" w:hint="default"/>
      </w:rPr>
    </w:lvl>
  </w:abstractNum>
  <w:abstractNum w:abstractNumId="1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79A41F8"/>
    <w:multiLevelType w:val="hybridMultilevel"/>
    <w:tmpl w:val="19287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B928B8"/>
    <w:multiLevelType w:val="hybridMultilevel"/>
    <w:tmpl w:val="954606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914C80"/>
    <w:multiLevelType w:val="hybridMultilevel"/>
    <w:tmpl w:val="018EF796"/>
    <w:lvl w:ilvl="0" w:tplc="36C81784">
      <w:start w:val="1"/>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687C8B"/>
    <w:multiLevelType w:val="hybridMultilevel"/>
    <w:tmpl w:val="4D52CE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58E169A5"/>
    <w:multiLevelType w:val="hybridMultilevel"/>
    <w:tmpl w:val="5D0AE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A291F04"/>
    <w:multiLevelType w:val="hybridMultilevel"/>
    <w:tmpl w:val="2E4ED8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A4F62FC"/>
    <w:multiLevelType w:val="hybridMultilevel"/>
    <w:tmpl w:val="23967B20"/>
    <w:lvl w:ilvl="0" w:tplc="50380070">
      <w:start w:val="2"/>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480D3D"/>
    <w:multiLevelType w:val="hybridMultilevel"/>
    <w:tmpl w:val="63B474DA"/>
    <w:lvl w:ilvl="0" w:tplc="36C8178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4525D4C"/>
    <w:multiLevelType w:val="hybridMultilevel"/>
    <w:tmpl w:val="EB9AFB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6DB1CFD"/>
    <w:multiLevelType w:val="hybridMultilevel"/>
    <w:tmpl w:val="B596D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7E45AF5"/>
    <w:multiLevelType w:val="hybridMultilevel"/>
    <w:tmpl w:val="4978F7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AA10058"/>
    <w:multiLevelType w:val="hybridMultilevel"/>
    <w:tmpl w:val="BFE689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4B50BD"/>
    <w:multiLevelType w:val="hybridMultilevel"/>
    <w:tmpl w:val="4AD41A00"/>
    <w:lvl w:ilvl="0" w:tplc="6DEEB940">
      <w:start w:val="1"/>
      <w:numFmt w:val="decimal"/>
      <w:lvlText w:val="%1."/>
      <w:lvlJc w:val="left"/>
      <w:pPr>
        <w:ind w:left="930" w:hanging="360"/>
      </w:pPr>
      <w:rPr>
        <w:rFonts w:hint="default"/>
      </w:rPr>
    </w:lvl>
    <w:lvl w:ilvl="1" w:tplc="041D0019" w:tentative="1">
      <w:start w:val="1"/>
      <w:numFmt w:val="lowerLetter"/>
      <w:lvlText w:val="%2."/>
      <w:lvlJc w:val="left"/>
      <w:pPr>
        <w:ind w:left="1650" w:hanging="360"/>
      </w:pPr>
    </w:lvl>
    <w:lvl w:ilvl="2" w:tplc="041D001B" w:tentative="1">
      <w:start w:val="1"/>
      <w:numFmt w:val="lowerRoman"/>
      <w:lvlText w:val="%3."/>
      <w:lvlJc w:val="right"/>
      <w:pPr>
        <w:ind w:left="2370" w:hanging="180"/>
      </w:pPr>
    </w:lvl>
    <w:lvl w:ilvl="3" w:tplc="041D000F" w:tentative="1">
      <w:start w:val="1"/>
      <w:numFmt w:val="decimal"/>
      <w:lvlText w:val="%4."/>
      <w:lvlJc w:val="left"/>
      <w:pPr>
        <w:ind w:left="3090" w:hanging="360"/>
      </w:pPr>
    </w:lvl>
    <w:lvl w:ilvl="4" w:tplc="041D0019" w:tentative="1">
      <w:start w:val="1"/>
      <w:numFmt w:val="lowerLetter"/>
      <w:lvlText w:val="%5."/>
      <w:lvlJc w:val="left"/>
      <w:pPr>
        <w:ind w:left="3810" w:hanging="360"/>
      </w:pPr>
    </w:lvl>
    <w:lvl w:ilvl="5" w:tplc="041D001B" w:tentative="1">
      <w:start w:val="1"/>
      <w:numFmt w:val="lowerRoman"/>
      <w:lvlText w:val="%6."/>
      <w:lvlJc w:val="right"/>
      <w:pPr>
        <w:ind w:left="4530" w:hanging="180"/>
      </w:pPr>
    </w:lvl>
    <w:lvl w:ilvl="6" w:tplc="041D000F" w:tentative="1">
      <w:start w:val="1"/>
      <w:numFmt w:val="decimal"/>
      <w:lvlText w:val="%7."/>
      <w:lvlJc w:val="left"/>
      <w:pPr>
        <w:ind w:left="5250" w:hanging="360"/>
      </w:pPr>
    </w:lvl>
    <w:lvl w:ilvl="7" w:tplc="041D0019" w:tentative="1">
      <w:start w:val="1"/>
      <w:numFmt w:val="lowerLetter"/>
      <w:lvlText w:val="%8."/>
      <w:lvlJc w:val="left"/>
      <w:pPr>
        <w:ind w:left="5970" w:hanging="360"/>
      </w:pPr>
    </w:lvl>
    <w:lvl w:ilvl="8" w:tplc="041D001B" w:tentative="1">
      <w:start w:val="1"/>
      <w:numFmt w:val="lowerRoman"/>
      <w:lvlText w:val="%9."/>
      <w:lvlJc w:val="right"/>
      <w:pPr>
        <w:ind w:left="6690" w:hanging="180"/>
      </w:pPr>
    </w:lvl>
  </w:abstractNum>
  <w:abstractNum w:abstractNumId="40"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216FB0"/>
    <w:multiLevelType w:val="hybridMultilevel"/>
    <w:tmpl w:val="FB2A19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D421B68"/>
    <w:multiLevelType w:val="hybridMultilevel"/>
    <w:tmpl w:val="163C68B2"/>
    <w:lvl w:ilvl="0" w:tplc="BA2E1BF2">
      <w:start w:val="1"/>
      <w:numFmt w:val="bullet"/>
      <w:pStyle w:val="ListBullet"/>
      <w:lvlText w:val=""/>
      <w:lvlJc w:val="left"/>
      <w:pPr>
        <w:tabs>
          <w:tab w:val="num" w:pos="0"/>
        </w:tabs>
        <w:ind w:left="0"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start w:val="1"/>
      <w:numFmt w:val="bullet"/>
      <w:lvlText w:val=""/>
      <w:lvlJc w:val="left"/>
      <w:pPr>
        <w:tabs>
          <w:tab w:val="num" w:pos="1740"/>
        </w:tabs>
        <w:ind w:left="1740" w:hanging="420"/>
      </w:pPr>
      <w:rPr>
        <w:rFonts w:ascii="Wingdings" w:hAnsi="Wingdings" w:hint="default"/>
      </w:rPr>
    </w:lvl>
    <w:lvl w:ilvl="5" w:tplc="A7F86B9A">
      <w:start w:val="1"/>
      <w:numFmt w:val="bullet"/>
      <w:lvlText w:val=""/>
      <w:lvlJc w:val="left"/>
      <w:pPr>
        <w:tabs>
          <w:tab w:val="num" w:pos="2160"/>
        </w:tabs>
        <w:ind w:left="2160" w:hanging="420"/>
      </w:pPr>
      <w:rPr>
        <w:rFonts w:ascii="Wingdings" w:hAnsi="Wingdings" w:hint="default"/>
      </w:rPr>
    </w:lvl>
    <w:lvl w:ilvl="6" w:tplc="72C69C5A">
      <w:start w:val="1"/>
      <w:numFmt w:val="bullet"/>
      <w:lvlText w:val=""/>
      <w:lvlJc w:val="left"/>
      <w:pPr>
        <w:tabs>
          <w:tab w:val="num" w:pos="2580"/>
        </w:tabs>
        <w:ind w:left="2580" w:hanging="420"/>
      </w:pPr>
      <w:rPr>
        <w:rFonts w:ascii="Wingdings" w:hAnsi="Wingdings" w:hint="default"/>
      </w:rPr>
    </w:lvl>
    <w:lvl w:ilvl="7" w:tplc="D8A01E52">
      <w:start w:val="1"/>
      <w:numFmt w:val="bullet"/>
      <w:lvlText w:val=""/>
      <w:lvlJc w:val="left"/>
      <w:pPr>
        <w:tabs>
          <w:tab w:val="num" w:pos="3000"/>
        </w:tabs>
        <w:ind w:left="3000" w:hanging="420"/>
      </w:pPr>
      <w:rPr>
        <w:rFonts w:ascii="Wingdings" w:hAnsi="Wingdings" w:hint="default"/>
      </w:rPr>
    </w:lvl>
    <w:lvl w:ilvl="8" w:tplc="8EF4A33C">
      <w:start w:val="1"/>
      <w:numFmt w:val="bullet"/>
      <w:lvlText w:val=""/>
      <w:lvlJc w:val="left"/>
      <w:pPr>
        <w:tabs>
          <w:tab w:val="num" w:pos="3420"/>
        </w:tabs>
        <w:ind w:left="3420" w:hanging="420"/>
      </w:pPr>
      <w:rPr>
        <w:rFonts w:ascii="Wingdings" w:hAnsi="Wingdings" w:hint="default"/>
      </w:rPr>
    </w:lvl>
  </w:abstractNum>
  <w:abstractNum w:abstractNumId="44" w15:restartNumberingAfterBreak="0">
    <w:nsid w:val="7FE66411"/>
    <w:multiLevelType w:val="hybridMultilevel"/>
    <w:tmpl w:val="64AC6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27"/>
  </w:num>
  <w:num w:numId="3">
    <w:abstractNumId w:val="18"/>
  </w:num>
  <w:num w:numId="4">
    <w:abstractNumId w:val="6"/>
  </w:num>
  <w:num w:numId="5">
    <w:abstractNumId w:val="25"/>
  </w:num>
  <w:num w:numId="6">
    <w:abstractNumId w:val="7"/>
  </w:num>
  <w:num w:numId="7">
    <w:abstractNumId w:val="1"/>
  </w:num>
  <w:num w:numId="8">
    <w:abstractNumId w:val="0"/>
  </w:num>
  <w:num w:numId="9">
    <w:abstractNumId w:val="16"/>
  </w:num>
  <w:num w:numId="10">
    <w:abstractNumId w:val="11"/>
  </w:num>
  <w:num w:numId="11">
    <w:abstractNumId w:val="4"/>
  </w:num>
  <w:num w:numId="12">
    <w:abstractNumId w:val="40"/>
  </w:num>
  <w:num w:numId="13">
    <w:abstractNumId w:val="23"/>
  </w:num>
  <w:num w:numId="14">
    <w:abstractNumId w:val="10"/>
  </w:num>
  <w:num w:numId="15">
    <w:abstractNumId w:val="38"/>
  </w:num>
  <w:num w:numId="16">
    <w:abstractNumId w:val="29"/>
  </w:num>
  <w:num w:numId="17">
    <w:abstractNumId w:val="41"/>
  </w:num>
  <w:num w:numId="18">
    <w:abstractNumId w:val="32"/>
  </w:num>
  <w:num w:numId="19">
    <w:abstractNumId w:val="17"/>
  </w:num>
  <w:num w:numId="20">
    <w:abstractNumId w:val="2"/>
  </w:num>
  <w:num w:numId="21">
    <w:abstractNumId w:val="12"/>
  </w:num>
  <w:num w:numId="22">
    <w:abstractNumId w:val="3"/>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4"/>
  </w:num>
  <w:num w:numId="25">
    <w:abstractNumId w:val="26"/>
  </w:num>
  <w:num w:numId="26">
    <w:abstractNumId w:val="14"/>
  </w:num>
  <w:num w:numId="27">
    <w:abstractNumId w:val="24"/>
  </w:num>
  <w:num w:numId="28">
    <w:abstractNumId w:val="31"/>
  </w:num>
  <w:num w:numId="29">
    <w:abstractNumId w:val="8"/>
  </w:num>
  <w:num w:numId="30">
    <w:abstractNumId w:val="5"/>
  </w:num>
  <w:num w:numId="31">
    <w:abstractNumId w:val="28"/>
  </w:num>
  <w:num w:numId="32">
    <w:abstractNumId w:val="37"/>
  </w:num>
  <w:num w:numId="33">
    <w:abstractNumId w:val="13"/>
  </w:num>
  <w:num w:numId="34">
    <w:abstractNumId w:val="20"/>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num>
  <w:num w:numId="37">
    <w:abstractNumId w:val="33"/>
  </w:num>
  <w:num w:numId="38">
    <w:abstractNumId w:val="21"/>
  </w:num>
  <w:num w:numId="39">
    <w:abstractNumId w:val="39"/>
  </w:num>
  <w:num w:numId="40">
    <w:abstractNumId w:val="36"/>
  </w:num>
  <w:num w:numId="41">
    <w:abstractNumId w:val="45"/>
  </w:num>
  <w:num w:numId="42">
    <w:abstractNumId w:val="42"/>
  </w:num>
  <w:num w:numId="43">
    <w:abstractNumId w:val="15"/>
  </w:num>
  <w:num w:numId="44">
    <w:abstractNumId w:val="43"/>
  </w:num>
  <w:num w:numId="45">
    <w:abstractNumId w:val="19"/>
  </w:num>
  <w:num w:numId="46">
    <w:abstractNumId w:val="30"/>
  </w:num>
  <w:num w:numId="47">
    <w:abstractNumId w:val="3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22326"/>
    <w:rsid w:val="00031AA4"/>
    <w:rsid w:val="0004550F"/>
    <w:rsid w:val="000669C3"/>
    <w:rsid w:val="000D55CA"/>
    <w:rsid w:val="000D7B2E"/>
    <w:rsid w:val="000F2691"/>
    <w:rsid w:val="00106793"/>
    <w:rsid w:val="00116008"/>
    <w:rsid w:val="00134BC2"/>
    <w:rsid w:val="00154A2B"/>
    <w:rsid w:val="00160371"/>
    <w:rsid w:val="001929D2"/>
    <w:rsid w:val="001A1DF1"/>
    <w:rsid w:val="001C00F7"/>
    <w:rsid w:val="001C7167"/>
    <w:rsid w:val="001D7294"/>
    <w:rsid w:val="001F6D3C"/>
    <w:rsid w:val="002136ED"/>
    <w:rsid w:val="0021709D"/>
    <w:rsid w:val="0022222B"/>
    <w:rsid w:val="00224002"/>
    <w:rsid w:val="0023091B"/>
    <w:rsid w:val="00231F95"/>
    <w:rsid w:val="00233CA5"/>
    <w:rsid w:val="0023629F"/>
    <w:rsid w:val="00246E52"/>
    <w:rsid w:val="00270216"/>
    <w:rsid w:val="002761EC"/>
    <w:rsid w:val="00276A07"/>
    <w:rsid w:val="002922B0"/>
    <w:rsid w:val="00296551"/>
    <w:rsid w:val="002A006C"/>
    <w:rsid w:val="002A1B03"/>
    <w:rsid w:val="002B1D8E"/>
    <w:rsid w:val="002B6A9E"/>
    <w:rsid w:val="002C2869"/>
    <w:rsid w:val="002C75C7"/>
    <w:rsid w:val="002D14A6"/>
    <w:rsid w:val="002D2D61"/>
    <w:rsid w:val="002D4F72"/>
    <w:rsid w:val="002E0D51"/>
    <w:rsid w:val="002F7659"/>
    <w:rsid w:val="00300E72"/>
    <w:rsid w:val="00310ED0"/>
    <w:rsid w:val="003539C7"/>
    <w:rsid w:val="00364C98"/>
    <w:rsid w:val="00382840"/>
    <w:rsid w:val="00395D70"/>
    <w:rsid w:val="003A004E"/>
    <w:rsid w:val="003A1646"/>
    <w:rsid w:val="003B3520"/>
    <w:rsid w:val="003D3533"/>
    <w:rsid w:val="003D4C90"/>
    <w:rsid w:val="00400A7F"/>
    <w:rsid w:val="0041482F"/>
    <w:rsid w:val="00427D9F"/>
    <w:rsid w:val="00445089"/>
    <w:rsid w:val="00445D71"/>
    <w:rsid w:val="00466C8C"/>
    <w:rsid w:val="00473228"/>
    <w:rsid w:val="0048511E"/>
    <w:rsid w:val="00492A87"/>
    <w:rsid w:val="004A650D"/>
    <w:rsid w:val="004D1FC7"/>
    <w:rsid w:val="004D243B"/>
    <w:rsid w:val="004D5BF4"/>
    <w:rsid w:val="004E4400"/>
    <w:rsid w:val="00502D2F"/>
    <w:rsid w:val="00503DA1"/>
    <w:rsid w:val="0052336E"/>
    <w:rsid w:val="005317FD"/>
    <w:rsid w:val="00544758"/>
    <w:rsid w:val="0055725A"/>
    <w:rsid w:val="00577F8A"/>
    <w:rsid w:val="00587AD5"/>
    <w:rsid w:val="005C19D9"/>
    <w:rsid w:val="005C6F23"/>
    <w:rsid w:val="005C70A9"/>
    <w:rsid w:val="005C7515"/>
    <w:rsid w:val="005D729E"/>
    <w:rsid w:val="005F062A"/>
    <w:rsid w:val="005F5642"/>
    <w:rsid w:val="00613B20"/>
    <w:rsid w:val="006471F6"/>
    <w:rsid w:val="006569B2"/>
    <w:rsid w:val="00657549"/>
    <w:rsid w:val="00673015"/>
    <w:rsid w:val="006B39D4"/>
    <w:rsid w:val="006B5C13"/>
    <w:rsid w:val="006D0EAA"/>
    <w:rsid w:val="00721759"/>
    <w:rsid w:val="007271F6"/>
    <w:rsid w:val="0073373C"/>
    <w:rsid w:val="00773AC2"/>
    <w:rsid w:val="00782D42"/>
    <w:rsid w:val="00783E56"/>
    <w:rsid w:val="00792E00"/>
    <w:rsid w:val="007A086D"/>
    <w:rsid w:val="007A4337"/>
    <w:rsid w:val="007C4266"/>
    <w:rsid w:val="007C7478"/>
    <w:rsid w:val="007D3E92"/>
    <w:rsid w:val="00802E59"/>
    <w:rsid w:val="00812031"/>
    <w:rsid w:val="008413E1"/>
    <w:rsid w:val="00842D44"/>
    <w:rsid w:val="008440E6"/>
    <w:rsid w:val="00847A26"/>
    <w:rsid w:val="00855F39"/>
    <w:rsid w:val="00863E4E"/>
    <w:rsid w:val="00881FF7"/>
    <w:rsid w:val="008B589E"/>
    <w:rsid w:val="008D6486"/>
    <w:rsid w:val="008D7C42"/>
    <w:rsid w:val="008E4156"/>
    <w:rsid w:val="008F1F96"/>
    <w:rsid w:val="008F434A"/>
    <w:rsid w:val="008F4664"/>
    <w:rsid w:val="00907F37"/>
    <w:rsid w:val="00922FEA"/>
    <w:rsid w:val="00924FF2"/>
    <w:rsid w:val="0095028A"/>
    <w:rsid w:val="00953616"/>
    <w:rsid w:val="00964810"/>
    <w:rsid w:val="0099351A"/>
    <w:rsid w:val="009A5946"/>
    <w:rsid w:val="009C5434"/>
    <w:rsid w:val="009D4321"/>
    <w:rsid w:val="009D6199"/>
    <w:rsid w:val="009E0604"/>
    <w:rsid w:val="009F2819"/>
    <w:rsid w:val="00A2568F"/>
    <w:rsid w:val="00A3558A"/>
    <w:rsid w:val="00A435BB"/>
    <w:rsid w:val="00A4775E"/>
    <w:rsid w:val="00A521CA"/>
    <w:rsid w:val="00A53301"/>
    <w:rsid w:val="00A57B22"/>
    <w:rsid w:val="00A824A2"/>
    <w:rsid w:val="00A87FD5"/>
    <w:rsid w:val="00A91C99"/>
    <w:rsid w:val="00AB0E69"/>
    <w:rsid w:val="00AB4ED7"/>
    <w:rsid w:val="00AB6D69"/>
    <w:rsid w:val="00AD4A6C"/>
    <w:rsid w:val="00AE52A9"/>
    <w:rsid w:val="00AF500B"/>
    <w:rsid w:val="00B10D92"/>
    <w:rsid w:val="00B132F8"/>
    <w:rsid w:val="00B2782B"/>
    <w:rsid w:val="00B45772"/>
    <w:rsid w:val="00B4693B"/>
    <w:rsid w:val="00BA58BF"/>
    <w:rsid w:val="00BB47FD"/>
    <w:rsid w:val="00C05967"/>
    <w:rsid w:val="00C07D1A"/>
    <w:rsid w:val="00C11C96"/>
    <w:rsid w:val="00C17CE0"/>
    <w:rsid w:val="00C246F3"/>
    <w:rsid w:val="00C274F7"/>
    <w:rsid w:val="00C64143"/>
    <w:rsid w:val="00C85EDD"/>
    <w:rsid w:val="00C8704A"/>
    <w:rsid w:val="00CA5461"/>
    <w:rsid w:val="00CA6F42"/>
    <w:rsid w:val="00CB13D7"/>
    <w:rsid w:val="00CB2067"/>
    <w:rsid w:val="00CC4DE0"/>
    <w:rsid w:val="00CE2663"/>
    <w:rsid w:val="00CF70FD"/>
    <w:rsid w:val="00D03C4C"/>
    <w:rsid w:val="00D05592"/>
    <w:rsid w:val="00D25F71"/>
    <w:rsid w:val="00D3198E"/>
    <w:rsid w:val="00D3258A"/>
    <w:rsid w:val="00D370EC"/>
    <w:rsid w:val="00D473F5"/>
    <w:rsid w:val="00D550D7"/>
    <w:rsid w:val="00D708B8"/>
    <w:rsid w:val="00D71FBC"/>
    <w:rsid w:val="00D910D4"/>
    <w:rsid w:val="00D96324"/>
    <w:rsid w:val="00D969D2"/>
    <w:rsid w:val="00DA4475"/>
    <w:rsid w:val="00DB0C2A"/>
    <w:rsid w:val="00DB3077"/>
    <w:rsid w:val="00DB7F21"/>
    <w:rsid w:val="00DC0C31"/>
    <w:rsid w:val="00DC0D2D"/>
    <w:rsid w:val="00DD077C"/>
    <w:rsid w:val="00DE16ED"/>
    <w:rsid w:val="00DE5DA3"/>
    <w:rsid w:val="00DF5BCD"/>
    <w:rsid w:val="00E05BB2"/>
    <w:rsid w:val="00E20C1D"/>
    <w:rsid w:val="00E540CB"/>
    <w:rsid w:val="00E62C72"/>
    <w:rsid w:val="00E6545D"/>
    <w:rsid w:val="00E7721C"/>
    <w:rsid w:val="00E80AA8"/>
    <w:rsid w:val="00EA40E1"/>
    <w:rsid w:val="00EA6BD4"/>
    <w:rsid w:val="00ED0DE9"/>
    <w:rsid w:val="00ED66F5"/>
    <w:rsid w:val="00EF2E1D"/>
    <w:rsid w:val="00EF6860"/>
    <w:rsid w:val="00EF7395"/>
    <w:rsid w:val="00F07A44"/>
    <w:rsid w:val="00F11865"/>
    <w:rsid w:val="00F17221"/>
    <w:rsid w:val="00F1792E"/>
    <w:rsid w:val="00F27E41"/>
    <w:rsid w:val="00F41322"/>
    <w:rsid w:val="00F42338"/>
    <w:rsid w:val="00F912B3"/>
    <w:rsid w:val="00FA49E4"/>
    <w:rsid w:val="00FB778E"/>
    <w:rsid w:val="00FC3D97"/>
    <w:rsid w:val="00FD3E6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2897B"/>
  <w15:chartTrackingRefBased/>
  <w15:docId w15:val="{1AE17092-79C4-4ABE-A4C1-66A755B70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B1F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 Bullets,목록 단락,リスト段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 Bullets Char1,Lista1 Char1,?? ?? Char1,????? Char1"/>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
    <w:basedOn w:val="Normal"/>
    <w:uiPriority w:val="34"/>
    <w:qFormat/>
    <w:rsid w:val="00A4775E"/>
    <w:pPr>
      <w:ind w:left="720"/>
      <w:contextualSpacing/>
    </w:pPr>
  </w:style>
  <w:style w:type="paragraph" w:customStyle="1" w:styleId="PropObs">
    <w:name w:val="PropObs"/>
    <w:basedOn w:val="Normal"/>
    <w:link w:val="PropObsChar"/>
    <w:qFormat/>
    <w:rsid w:val="005C19D9"/>
    <w:pPr>
      <w:numPr>
        <w:numId w:val="26"/>
      </w:numPr>
      <w:spacing w:after="0"/>
      <w:ind w:left="1134" w:hanging="1134"/>
      <w:jc w:val="both"/>
    </w:pPr>
    <w:rPr>
      <w:rFonts w:ascii="Calibri" w:eastAsia="MS Mincho" w:hAnsi="Calibri"/>
      <w:b/>
      <w:sz w:val="20"/>
      <w:lang w:eastAsia="sv-SE"/>
    </w:rPr>
  </w:style>
  <w:style w:type="character" w:customStyle="1" w:styleId="PropObsChar">
    <w:name w:val="PropObs Char"/>
    <w:link w:val="PropObs"/>
    <w:rsid w:val="005C19D9"/>
    <w:rPr>
      <w:rFonts w:ascii="Calibri" w:eastAsia="MS Mincho" w:hAnsi="Calibri"/>
      <w:b/>
      <w:lang w:eastAsia="sv-SE"/>
    </w:rPr>
  </w:style>
  <w:style w:type="table" w:styleId="TableGrid">
    <w:name w:val="Table Grid"/>
    <w:basedOn w:val="TableNormal"/>
    <w:uiPriority w:val="39"/>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134BC2"/>
    <w:pPr>
      <w:numPr>
        <w:numId w:val="36"/>
      </w:numPr>
      <w:overflowPunct w:val="0"/>
      <w:autoSpaceDE w:val="0"/>
      <w:autoSpaceDN w:val="0"/>
      <w:adjustRightInd w:val="0"/>
      <w:spacing w:after="120"/>
      <w:jc w:val="both"/>
      <w:textAlignment w:val="baseline"/>
    </w:pPr>
    <w:rPr>
      <w:rFonts w:ascii="Arial" w:eastAsia="Times New Roman" w:hAnsi="Arial"/>
      <w:sz w:val="20"/>
      <w:lang w:val="en-US" w:eastAsia="zh-CN"/>
    </w:rPr>
  </w:style>
  <w:style w:type="paragraph" w:customStyle="1" w:styleId="Proposal">
    <w:name w:val="Proposal"/>
    <w:basedOn w:val="Normal"/>
    <w:link w:val="ProposalChar"/>
    <w:qFormat/>
    <w:rsid w:val="00364C98"/>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364C98"/>
    <w:rPr>
      <w:rFonts w:eastAsia="Times New Roman"/>
      <w:b/>
      <w:bCs/>
      <w:lang w:eastAsia="zh-CN"/>
    </w:rPr>
  </w:style>
  <w:style w:type="paragraph" w:styleId="ListBullet">
    <w:name w:val="List Bullet"/>
    <w:basedOn w:val="Normal"/>
    <w:semiHidden/>
    <w:unhideWhenUsed/>
    <w:rsid w:val="00C85EDD"/>
    <w:pPr>
      <w:widowControl w:val="0"/>
      <w:numPr>
        <w:numId w:val="44"/>
      </w:numPr>
      <w:spacing w:after="0"/>
      <w:jc w:val="both"/>
    </w:pPr>
    <w:rPr>
      <w:rFonts w:eastAsia="MS Gothic"/>
      <w:kern w:val="2"/>
      <w:sz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98049710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35116889">
      <w:bodyDiv w:val="1"/>
      <w:marLeft w:val="0"/>
      <w:marRight w:val="0"/>
      <w:marTop w:val="0"/>
      <w:marBottom w:val="0"/>
      <w:divBdr>
        <w:top w:val="none" w:sz="0" w:space="0" w:color="auto"/>
        <w:left w:val="none" w:sz="0" w:space="0" w:color="auto"/>
        <w:bottom w:val="none" w:sz="0" w:space="0" w:color="auto"/>
        <w:right w:val="none" w:sz="0" w:space="0" w:color="auto"/>
      </w:divBdr>
    </w:div>
    <w:div w:id="1666476486">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092777162">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85E00-5D5C-4D5B-A6B0-34814E157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11</Pages>
  <Words>3785</Words>
  <Characters>21577</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CTPClassification=CTP_PUBLIC:VisualMarkings=</cp:keywords>
  <dc:description/>
  <cp:lastModifiedBy>Beale, Martin</cp:lastModifiedBy>
  <cp:revision>3</cp:revision>
  <cp:lastPrinted>2002-04-23T09:10:00Z</cp:lastPrinted>
  <dcterms:created xsi:type="dcterms:W3CDTF">2019-08-16T22:49:00Z</dcterms:created>
  <dcterms:modified xsi:type="dcterms:W3CDTF">2019-08-17T00:38:00Z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ies>
</file>